
<file path=[Content_Types].xml><?xml version="1.0" encoding="utf-8"?>
<Types xmlns="http://schemas.openxmlformats.org/package/2006/content-types">
  <Default Extension="xml" ContentType="application/vnd.openxmlformats-officedocument.wordprocessingml.styles+xml"/>
  <Default Extension="jpg" ContentType="image/jpg"/>
  <Default Extension="rels" ContentType="application/vnd.openxmlformats-package.relationships+xml"/>
  <Override PartName="/word/settings.xml" ContentType="application/vnd.openxmlformats-officedocument.wordprocessingml.settings+xml"/>
  <Override PartName="/word/document.xml" ContentType="application/vnd.openxmlformats-officedocument.wordprocessingml.document.main+xml"/>
  <Override PartName="/word/header1.xml" ContentType="application/vnd.openxmlformats-officedocument.wordprocessingml.header+xml"/>
</Types>
</file>

<file path=_rels/.rels>&#65279;<?xml version="1.0" encoding="utf-8"?><Relationships xmlns="http://schemas.openxmlformats.org/package/2006/relationships"><Relationship Type="http://schemas.openxmlformats.org/officeDocument/2006/relationships/officeDocument" Target="/word/document.xml" Id="rId1" /></Relationships>
</file>

<file path=word/document.xml><?xml version="1.0" encoding="utf-8"?>
<w:document xmlns:r="http://schemas.openxmlformats.org/officeDocument/2006/relationships" xmlns:m="http://schemas.openxmlformats.org/officeDocument/2006/math" xmlns:w="http://schemas.openxmlformats.org/wordprocessingml/2006/main">
  <w:body>
    <w:p>
      <w:pPr>
        <w:jc w:val="center"/>
      </w:pPr>
      <w:r>
        <w:t>Министерство науки и высшего образования Республики Казахстан</w:t>
      </w:r>
    </w:p>
    <w:p/>
    <w:p>
      <w:pPr>
        <w:jc w:val="center"/>
      </w:pPr>
      <w:r>
        <w:t>ВКТУ им.Д.Серикбаева</w:t>
      </w:r>
    </w:p>
    <w:p/>
    <w:p/>
    <w:p>
      <w:pPr>
        <w:ind w:left="6100"/>
      </w:pPr>
      <w:r>
        <w:t>УТВЕРЖДАЮ:</w:t>
      </w:r>
    </w:p>
    <w:p>
      <w:pPr>
        <w:ind w:left="6100"/>
      </w:pPr>
      <w:r>
        <w:t>Декан ШНоЗ:</w:t>
      </w:r>
    </w:p>
    <w:p>
      <w:pPr>
        <w:ind w:left="6100"/>
      </w:pPr>
      <w:r>
        <w:t>Рахымбердина М.Е.</w:t>
      </w:r>
    </w:p>
    <w:p>
      <w:pPr>
        <w:ind w:left="6100"/>
      </w:pPr>
      <w:r>
        <w:t>_____________ </w:t>
      </w:r>
      <w:r>
        <w:t>2027</w:t>
      </w:r>
      <w:r>
        <w:t xml:space="preserve"> г.</w:t>
      </w:r>
    </w:p>
    <w:p/>
    <w:p/>
    <w:p/>
    <w:p/>
    <w:p/>
    <w:p/>
    <w:p/>
    <w:p/>
    <w:p/>
    <w:p>
      <w:pPr>
        <w:jc w:val="center"/>
      </w:pPr>
      <w:r>
        <w:rPr>
          <w:b w:val="1"/>
        </w:rPr>
        <w:t>ОСНОВЫ НЕДРОПОЛЬЗОВАНИЯ</w:t>
      </w:r>
    </w:p>
    <w:p>
      <w:pPr>
        <w:jc w:val="center"/>
      </w:pPr>
      <w:r>
        <w:t>Рабочая учебная программа (силлабус)</w:t>
      </w:r>
    </w:p>
    <w:p/>
    <w:p/>
    <w:p/>
    <w:p/>
    <w:p>
      <w:r>
        <w:t>Образовательная программа: 6B07204 Геология и разведка месторождений полезных ископаемых</w:t>
      </w:r>
    </w:p>
    <w:p>
      <w:r>
        <w:t>Код дисциплины: ON4304</w:t>
      </w:r>
    </w:p>
    <w:p>
      <w:r>
        <w:t>Количество кредитов: 5</w:t>
      </w:r>
    </w:p>
    <w:p>
      <w:r>
        <w:t>Цикл: ПД</w:t>
      </w:r>
    </w:p>
    <w:p>
      <w:r>
        <w:t>Компонент: ВК</w:t>
      </w:r>
    </w:p>
    <w:p/>
    <w:p/>
    <w:p/>
    <w:p/>
    <w:p/>
    <w:p/>
    <w:p/>
    <w:p/>
    <w:p/>
    <w:p/>
    <w:p/>
    <w:p/>
    <w:p/>
    <w:p>
      <w:pPr>
        <w:jc w:val="center"/>
      </w:pPr>
      <w:r>
        <w:t>Усть-Каменогорск,</w:t>
      </w:r>
      <w:r>
        <w:t xml:space="preserve"> 2027</w:t>
      </w:r>
      <w:r>
        <w:br w:type="page"/>
      </w:r>
    </w:p>
    <w:p>
      <w:pPr>
        <w:ind w:firstLine="567"/>
      </w:pPr>
      <w:r>
        <w:t>Рабочая учебная программа (силлабус) разработана на «ШНоЗ» на основании Государственных общеобязательных стандартов высшего и послевузовского образования (Приказ Министра науки и высшего образования РК №2 от 20.07.2022 г.), Правил организации учебного процесса по кредитной технологии обучения (Приказ Министра образования и науки РК от №152 от 20.04.2011 г.), Образовательной программы, Рабочего учебного плана, Каталога элективных дисциплин.</w:t>
      </w:r>
    </w:p>
    <w:p/>
    <w:p>
      <w:r>
        <w:t>Одобрено Комиссией по обеспечению качества</w:t>
      </w:r>
    </w:p>
    <w:p/>
    <w:p>
      <w:pPr>
        <w:tabs>
          <w:tab w:val="left" w:pos="6500"/>
        </w:tabs>
      </w:pPr>
      <w:r>
        <w:t>Председатель</w:t>
        <w:tab/>
        <w:r>
          <w:t>Асылханова Ж.А.</w:t>
        </w:r>
      </w:r>
    </w:p>
    <w:p>
      <w:r>
        <w:t xml:space="preserve">Дата    </w:t>
      </w:r>
      <w:r>
        <w:t>28.08.2025</w:t>
      </w:r>
      <w:r>
        <w:t xml:space="preserve"> г.   протокол </w:t>
      </w:r>
      <w:r>
        <w:t>№1</w:t>
      </w:r>
    </w:p>
    <w:p/>
    <w:p>
      <w:pPr>
        <w:tabs>
          <w:tab w:val="left" w:pos="6500"/>
        </w:tabs>
        <w:ind w:left="6500" w:hanging="6500"/>
        <w:jc w:val="left"/>
      </w:pPr>
      <w:r>
        <w:t>Руководитель образовательной программы</w:t>
        <w:tab/>
      </w:r>
      <w:r>
        <w:t>Айтбаева С.С.</w:t>
      </w:r>
    </w:p>
    <w:p>
      <w:pPr>
        <w:tabs>
          <w:tab w:val="left" w:pos="6500"/>
        </w:tabs>
        <w:ind w:left="6500" w:hanging="6500"/>
        <w:jc w:val="left"/>
      </w:pPr>
      <w:r>
        <w:tab/>
      </w:r>
      <w:r>
        <w:t>6B07204</w:t>
      </w:r>
    </w:p>
    <w:p/>
    <w:p>
      <w:pPr>
        <w:tabs>
          <w:tab w:val="left" w:pos="6500"/>
        </w:tabs>
        <w:ind w:left="6500" w:hanging="6500"/>
        <w:jc w:val="left"/>
      </w:pPr>
      <w:r>
        <w:t>Сотрудник библиотеки</w:t>
        <w:tab/>
      </w:r>
      <w:r>
        <w:t>Дроздова О.Н.</w:t>
      </w:r>
    </w:p>
    <w:p/>
    <w:p>
      <w:pPr>
        <w:tabs>
          <w:tab w:val="left" w:pos="6500"/>
        </w:tabs>
        <w:ind w:left="6500" w:hanging="6500"/>
        <w:jc w:val="left"/>
      </w:pPr>
      <w:r>
        <w:t>Разработал</w:t>
        <w:tab/>
      </w:r>
      <w:r>
        <w:t>Пятков А.В.</w:t>
      </w:r>
    </w:p>
    <w:p>
      <w:pPr>
        <w:tabs>
          <w:tab w:val="left" w:pos="6500"/>
        </w:tabs>
        <w:ind w:left="6500" w:hanging="6500"/>
        <w:jc w:val="left"/>
      </w:pPr>
      <w:r>
        <w:tab/>
      </w:r>
      <w:r>
        <w:t>Старший преподаватель</w:t>
      </w:r>
    </w:p>
    <w:p/>
    <w:p/>
    <w:p>
      <w:r>
        <w:br w:type="page"/>
      </w:r>
    </w:p>
    <w:p>
      <w:pPr>
        <w:jc w:val="center"/>
      </w:pPr>
      <w:r>
        <w:rPr>
          <w:b w:val="1"/>
        </w:rPr>
        <w:t>1 ХАРАКТЕРИСТИКА ДИСЦИПЛИНЫ, ЕЕ МЕСТО В УЧЕБНОМ ПРОЦЕССЕ</w:t>
      </w:r>
    </w:p>
    <w:p/>
    <w:p>
      <w:pPr>
        <w:jc w:val="center"/>
      </w:pPr>
      <w:r>
        <w:rPr>
          <w:b w:val="1"/>
        </w:rPr>
        <w:t>1.1 Краткое описание дисциплины</w:t>
      </w:r>
    </w:p>
    <w:p/>
    <w:p>
      <w:pPr>
        <w:ind w:firstLine="567"/>
      </w:pPr>
      <w:r>
        <w:t>Рассмотрены основные положения законодательной базы недропользования Республики Казахстан. Приводится стадийность геологического изучения недр, принятая для Казахстана, организационная форма предприятий минерально-сырьевой отрасли. Дается характеристика видов лицензий на разведку и добычу полезных ископаемых, приводятся основные требования к содержанию рабочих программ, права и обязанности недропользователей.</w:t>
      </w:r>
    </w:p>
    <w:p/>
    <w:p>
      <w:pPr>
        <w:jc w:val="center"/>
      </w:pPr>
      <w:r>
        <w:rPr>
          <w:b w:val="1"/>
        </w:rPr>
        <w:t>1.2 Цель и задачи изучения дисциплины</w:t>
      </w:r>
    </w:p>
    <w:p/>
    <w:p>
      <w:pPr>
        <w:ind w:firstLine="567"/>
      </w:pPr>
      <w:r>
        <w:t>Цель изучения дисциплины:</w:t>
      </w:r>
    </w:p>
    <w:p>
      <w:pPr>
        <w:ind w:firstLine="567"/>
      </w:pPr>
      <w:r>
        <w:t>Обеспечение усвоения студентами основного курса основ недропользования, понимания законов, регулирующих правовые отношения, возникающие при освоении недр</w:t>
      </w:r>
    </w:p>
    <w:p/>
    <w:p>
      <w:pPr>
        <w:ind w:firstLine="567"/>
      </w:pPr>
      <w:r>
        <w:t>Задачи изучения дисциплины:</w:t>
      </w:r>
    </w:p>
    <w:p>
      <w:pPr>
        <w:ind w:firstLine="567"/>
      </w:pPr>
      <w:r>
        <w:t>- Доступно, через примеры, объяснить принципы недропользования, провести виртуальные оформления лицензий на старательство, разведку и добычу, внедрить общее понимание кодекса KAZRC</w:t>
      </w:r>
    </w:p>
    <w:p/>
    <w:p>
      <w:pPr>
        <w:jc w:val="center"/>
      </w:pPr>
      <w:r>
        <w:rPr>
          <w:b w:val="1"/>
        </w:rPr>
        <w:t>1.3 Цели устойчивого развития</w:t>
      </w:r>
    </w:p>
    <w:p/>
    <w:p>
      <w:pPr>
        <w:jc w:val="both"/>
        <w:ind w:firstLine="567"/>
      </w:pPr>
      <w:r>
        <w:t>Цель 4. Обеспечение всеохватного и справедливого качественного образования и поощрение возможности обучения на протяжении всей жизни для всех</w:t>
      </w:r>
    </w:p>
    <w:p>
      <w:pPr>
        <w:jc w:val="both"/>
        <w:ind w:firstLine="567"/>
      </w:pPr>
      <w:r>
        <w:t>Цель 6. Обеспечение наличия и рационального использования водных ресурсов и санитарии для всех</w:t>
      </w:r>
    </w:p>
    <w:p>
      <w:pPr>
        <w:jc w:val="both"/>
        <w:ind w:firstLine="567"/>
      </w:pPr>
      <w:r>
        <w:t>Цель 7. Обеспечение всеобщего доступа к недорогим, надежным, устойчивым и современным источникам энергии для всех</w:t>
      </w:r>
    </w:p>
    <w:p>
      <w:pPr>
        <w:jc w:val="both"/>
        <w:ind w:firstLine="567"/>
      </w:pPr>
      <w:r>
        <w:t>Цель 8. Содействие поступательному, всеохватному и устойчивому экономическому росту, полной и производительной занятости и достойной работе для всех</w:t>
      </w:r>
    </w:p>
    <w:p>
      <w:pPr>
        <w:jc w:val="both"/>
        <w:ind w:firstLine="567"/>
      </w:pPr>
      <w:r>
        <w:t>Цель 9. Создание стойкой инфраструктуры, содействие всеохватной и устойчивой индустриализации и инновациям</w:t>
      </w:r>
    </w:p>
    <w:p>
      <w:pPr>
        <w:jc w:val="both"/>
        <w:ind w:firstLine="567"/>
      </w:pPr>
      <w:r>
        <w:t>Цель 11. Обеспечение открытости, безопасности, жизнестойкости и экологической устойчивости городов и населенных пунктов</w:t>
      </w:r>
    </w:p>
    <w:p>
      <w:pPr>
        <w:jc w:val="both"/>
        <w:ind w:firstLine="567"/>
      </w:pPr>
      <w:r>
        <w:t>Цель 12. Обеспечение перехода к рациональным моделям потребления и производства</w:t>
      </w:r>
    </w:p>
    <w:p>
      <w:pPr>
        <w:jc w:val="both"/>
        <w:ind w:firstLine="567"/>
      </w:pPr>
      <w:r>
        <w:t>Цель 14. Сохранение и рациональное использование океанов, морей и морских ресурсов в интересах устойчивого развития</w:t>
      </w:r>
    </w:p>
    <w:p>
      <w:pPr>
        <w:jc w:val="both"/>
        <w:ind w:firstLine="567"/>
      </w:pPr>
      <w:r>
        <w:t>Цель 15. Защита и восстановление экосистем суши и содействие их рациональному использованию, рациональное лесопользование, борьба с опустыниванием, прекращение и обращение вспять процесса деградации земель и прекращение процесса утраты биоразнообразия</w:t>
      </w:r>
    </w:p>
    <w:p>
      <w:pPr>
        <w:jc w:val="both"/>
        <w:ind w:firstLine="567"/>
      </w:pPr>
      <w:r>
        <w:t>Цель 17. Укрепление средств осуществления и активизация работы в рамках Глобального партнерства в интересах устойчивого развития</w:t>
      </w:r>
    </w:p>
    <w:p/>
    <w:p>
      <w:pPr>
        <w:jc w:val="center"/>
      </w:pPr>
      <w:r>
        <w:rPr>
          <w:b w:val="1"/>
        </w:rPr>
        <w:t>1.4 Результаты обучения</w:t>
      </w:r>
    </w:p>
    <w:p/>
    <w:p>
      <w:pPr>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vMerge w:val="restart"/>
            <w:tcW w:w="1119" w:type="pct"/>
          </w:tcPr>
          <w:p>
            <w:pPr>
              <w:jc w:val="center"/>
            </w:pPr>
            <w:r>
              <w:t>Формируемые ключевые компетенции</w:t>
            </w:r>
          </w:p>
        </w:tc>
        <w:tc>
          <w:tcPr>
            <w:gridSpan w:val="2"/>
          </w:tcPr>
          <w:p>
            <w:pPr>
              <w:jc w:val="center"/>
            </w:pPr>
            <w:r>
              <w:t>Результаты обучения (единицы ключевых компетенций)</w:t>
            </w:r>
          </w:p>
        </w:tc>
      </w:tr>
      <w:tr>
        <w:trPr>
          <w:tblHeader w:val="1"/>
        </w:trPr>
        <w:tc>
          <w:tcPr>
            <w:vMerge w:val="continue"/>
          </w:tcPr>
          <w:p/>
        </w:tc>
        <w:tc>
          <w:tcPr>
            <w:tcW w:w="2015" w:type="pct"/>
          </w:tcPr>
          <w:p>
            <w:pPr>
              <w:jc w:val="center"/>
            </w:pPr>
            <w:r>
              <w:t>образовательной программы</w:t>
            </w:r>
          </w:p>
        </w:tc>
        <w:tc>
          <w:tcPr>
            <w:tcW w:w="1866" w:type="pct"/>
          </w:tcPr>
          <w:p>
            <w:pPr>
              <w:jc w:val="center"/>
            </w:pPr>
            <w:r>
              <w:t>дисциплины</w:t>
            </w:r>
          </w:p>
        </w:tc>
      </w:tr>
      <w:tr>
        <w:tc>
          <w:tcPr>
            <w:vMerge w:val="restart"/>
          </w:tcPr>
          <w:p>
            <w:pPr>
              <w:jc w:val="center"/>
            </w:pPr>
            <w:r>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w:t>
            </w:r>
          </w:p>
        </w:tc>
        <w:tc>
          <w:p>
            <w:r>
              <w:rPr>
                <w:sz w:val="20"/>
              </w:rPr>
              <w:t>РО10 - Ориентироваться в современных информационных потоках и адаптироваться к динамично меняющимся явлениям и процессам в мировой экономики</w:t>
            </w:r>
          </w:p>
        </w:tc>
        <w:tc>
          <w:tcPr>
            <w:vMerge w:val="restart"/>
          </w:tcPr>
          <w:p>
            <w:pPr>
              <w:ind w:firstLine="567"/>
            </w:pPr>
            <w:r>
              <w:rPr>
                <w:sz w:val="20"/>
              </w:rPr>
              <w:t>- Студент владеет знаниями о видах ресурсов и ограничений для решения профессиональных задач</w:t>
            </w:r>
          </w:p>
          <w:p>
            <w:pPr>
              <w:ind w:firstLine="567"/>
            </w:pPr>
            <w:r>
              <w:rPr>
                <w:sz w:val="20"/>
              </w:rPr>
              <w:t>- Понимает и умеет применять основные методы оценки разных способов решения задач</w:t>
            </w:r>
          </w:p>
          <w:p>
            <w:pPr>
              <w:ind w:firstLine="567"/>
            </w:pPr>
            <w:r>
              <w:rPr>
                <w:sz w:val="20"/>
              </w:rPr>
              <w:t>- Знает действующее законодательство и правовые нормы, регулирующие профессиональную деятельность</w:t>
            </w:r>
          </w:p>
          <w:p>
            <w:pPr>
              <w:ind w:firstLine="567"/>
            </w:pPr>
            <w:r>
              <w:rPr>
                <w:sz w:val="20"/>
              </w:rPr>
              <w:t>- 1 Возможности студента выделять задачи и определять их значимость в рамках поставленной цели, а также выбирать оптимальные способы их решения, исходя из действующих правовых норм, имеющихся ресурсов и возможных ограничений</w:t>
            </w:r>
          </w:p>
          <w:p>
            <w:pPr>
              <w:ind w:firstLine="567"/>
            </w:pPr>
            <w:r>
              <w:rPr>
                <w:sz w:val="20"/>
              </w:rPr>
              <w:t>- Знания, полученные при изучении основ недропользования, обеспечивают научное понимание положений горного законодательства, регулирующего и охраняющего горно-правовые отношения, охрана недр с точки зрения экологического права, регулирования отношений в сфере недропользования.</w:t>
            </w:r>
          </w:p>
          <w:p>
            <w:pPr>
              <w:ind w:firstLine="567"/>
            </w:pPr>
            <w:r>
              <w:rPr>
                <w:sz w:val="20"/>
              </w:rPr>
              <w:t>- Умение владеть основными нормами и методами делового взаимодействия</w:t>
            </w:r>
          </w:p>
          <w:p>
            <w:pPr>
              <w:ind w:firstLine="567"/>
            </w:pPr>
            <w:r>
              <w:rPr>
                <w:sz w:val="20"/>
              </w:rPr>
              <w:t>- Совершенствовать существующие и внедрять передовые методы ведения исследований, мобильность и восприимчивость к совершенствованию техники и технологии, использованиям достижений научно-технического прогресса в области геологических исследований, горного дела и любых связанных с геологией направлений</w:t>
            </w:r>
          </w:p>
          <w:p>
            <w:pPr>
              <w:ind w:firstLine="567"/>
            </w:pPr>
            <w:r>
              <w:rPr>
                <w:sz w:val="20"/>
              </w:rPr>
              <w:t>- Анализировать действующее законодательство в сфере недропользования и применять его на практике</w:t>
            </w:r>
          </w:p>
        </w:tc>
      </w:tr>
      <w:tr>
        <w:tc>
          <w:tcPr>
            <w:vMerge w:val="restart"/>
          </w:tcPr>
          <w:p>
            <w:pPr>
              <w:jc w:val="center"/>
            </w:pPr>
            <w:r>
              <w:rPr>
                <w:sz w:val="20"/>
              </w:rPr>
              <w:t>КК7 - Способность к производственной деятельности на горнодобывающих и геологоразведочных предприятиях</w:t>
            </w:r>
          </w:p>
        </w:tc>
        <w:tc>
          <w:p>
            <w:r>
              <w:rPr>
                <w:sz w:val="20"/>
              </w:rPr>
              <w:t>РО14 - Понимать методологические основы проведения всех видов поисковых и разведочных работ, экономику, организацию геологоразведочных работ и правовые основы современного недропользования</w:t>
            </w:r>
          </w:p>
        </w:tc>
        <w:tc>
          <w:tcPr>
            <w:vMerge w:val="continue"/>
          </w:tcPr>
          <w:p/>
        </w:tc>
      </w:tr>
    </w:tbl>
    <w:p/>
    <w:p>
      <w:pPr>
        <w:jc w:val="center"/>
      </w:pPr>
      <w:r>
        <w:rPr>
          <w:b w:val="1"/>
        </w:rPr>
        <w:t>1.5 Образовательные технологии, применяемые при освоении дисциплины</w:t>
      </w:r>
    </w:p>
    <w:p/>
    <w:p>
      <w:pPr>
        <w:jc w:val="center"/>
      </w:pPr>
      <w:r>
        <w:rPr>
          <w:b w:val="1"/>
        </w:rPr>
        <w:t>1.5.1 Современные образовательные технологии</w:t>
      </w:r>
    </w:p>
    <w:p/>
    <w:p>
      <w:pPr>
        <w:ind w:firstLine="567"/>
      </w:pPr>
      <w:r>
        <w:t>При проведении учебных занятий предусматривается использование следующих образовательных технологий:</w:t>
      </w:r>
    </w:p>
    <w:p>
      <w:pPr>
        <w:ind w:firstLine="567"/>
      </w:pPr>
      <w:r>
        <w:t>- Проведение лекционных занятий по дисциплине основывается на активном методе обучения, при которой учащиеся не пассивные слушатели, а активные участники занятия, отвечающие на вопросы преподавателя.</w:t>
      </w:r>
    </w:p>
    <w:p>
      <w:pPr>
        <w:ind w:firstLine="567"/>
      </w:pPr>
      <w:r>
        <w:t>- Вопросы преподавателя нацелены на активацию процессов усвоения материала, а также на развитие логического мышления.</w:t>
      </w:r>
    </w:p>
    <w:p>
      <w:pPr>
        <w:ind w:firstLine="567"/>
      </w:pPr>
      <w:r>
        <w:t>- Преподаватель заранее намечает список вопросов, стимулирующих ассоциативное мышление и установления связей с ранее освоенным материалом.</w:t>
      </w:r>
    </w:p>
    <w:p/>
    <w:p>
      <w:pPr>
        <w:jc w:val="center"/>
      </w:pPr>
      <w:r>
        <w:rPr>
          <w:b w:val="1"/>
        </w:rPr>
        <w:t>1.5.2 Адаптивные образовательные технологии (инклюзивное обучение)</w:t>
      </w:r>
    </w:p>
    <w:p/>
    <w:p>
      <w:pPr>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pPr>
        <w:ind w:firstLine="567"/>
      </w:pPr>
      <w:r>
        <w:t>- Адаптация учебного процесса к индивидуальным особенностям студентов, подбор учебного процесса за счет изменения его структуры для качественного и доступного образования для каждого</w:t>
      </w:r>
    </w:p>
    <w:p/>
    <w:p/>
    <w:p>
      <w:pPr>
        <w:jc w:val="center"/>
      </w:pPr>
      <w:r>
        <w:rPr>
          <w:b w:val="1"/>
        </w:rPr>
        <w:t>1.6 Пререквизиты</w:t>
      </w:r>
    </w:p>
    <w:p/>
    <w:p>
      <w:pPr>
        <w:ind w:firstLine="567"/>
      </w:pPr>
      <w:r>
        <w:t>- Геология и минеральные ресурсы Казахстана</w:t>
      </w:r>
    </w:p>
    <w:p/>
    <w:p>
      <w:pPr>
        <w:jc w:val="center"/>
      </w:pPr>
      <w:r>
        <w:rPr>
          <w:b w:val="1"/>
        </w:rPr>
        <w:t>1.7 Постреквизиты</w:t>
      </w:r>
    </w:p>
    <w:p/>
    <w:p>
      <w:pPr>
        <w:ind w:firstLine="567"/>
      </w:pPr>
    </w:p>
    <w:p/>
    <w:p>
      <w:pPr>
        <w:jc w:val="center"/>
      </w:pPr>
      <w:r>
        <w:rPr>
          <w:b w:val="1"/>
        </w:rPr>
        <w:t>1.8 Трудоемкость дисциплины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3500"/>
          </w:tcPr>
          <w:p>
            <w:r>
              <w:t>Виды работ</w:t>
            </w:r>
          </w:p>
        </w:tc>
        <w:tc>
          <w:tcPr>
            <w:tcW w:type="pct" w:w="1500"/>
          </w:tcPr>
          <w:p>
            <w:pPr>
              <w:jc w:val="center"/>
            </w:pPr>
            <w:r>
              <w:t>часы</w:t>
            </w:r>
          </w:p>
        </w:tc>
      </w:tr>
      <w:tr>
        <w:tc>
          <w:p>
            <w:r>
              <w:t>Лекции</w:t>
            </w:r>
          </w:p>
        </w:tc>
        <w:tc>
          <w:p>
            <w:pPr>
              <w:jc w:val="center"/>
            </w:pPr>
            <w:r>
              <w:t>15</w:t>
            </w:r>
          </w:p>
        </w:tc>
      </w:tr>
      <w:tr>
        <w:tc>
          <w:p>
            <w:r>
              <w:t>Практические работы</w:t>
            </w:r>
          </w:p>
        </w:tc>
        <w:tc>
          <w:p>
            <w:pPr>
              <w:jc w:val="center"/>
            </w:pPr>
            <w:r>
              <w:t>30</w:t>
            </w:r>
          </w:p>
        </w:tc>
      </w:tr>
      <w:tr>
        <w:tc>
          <w:p>
            <w:r>
              <w:t>СРОП</w:t>
            </w:r>
          </w:p>
        </w:tc>
        <w:tc>
          <w:p>
            <w:pPr>
              <w:jc w:val="center"/>
            </w:pPr>
            <w:r>
              <w:t>30</w:t>
            </w:r>
          </w:p>
        </w:tc>
      </w:tr>
      <w:tr>
        <w:tc>
          <w:p>
            <w:r>
              <w:t>СРО</w:t>
            </w:r>
          </w:p>
        </w:tc>
        <w:tc>
          <w:p>
            <w:pPr>
              <w:jc w:val="center"/>
            </w:pPr>
            <w:r>
              <w:t>75</w:t>
            </w:r>
          </w:p>
        </w:tc>
      </w:tr>
      <w:tr>
        <w:tc>
          <w:p>
            <w:pPr>
              <w:jc w:val="left"/>
            </w:pPr>
            <w:r>
              <w:t>Форма проведения итогового контроля</w:t>
            </w:r>
          </w:p>
        </w:tc>
        <w:tc>
          <w:p>
            <w:pPr>
              <w:jc w:val="center"/>
            </w:pPr>
            <w:r>
              <w:t>экзамен</w:t>
            </w:r>
          </w:p>
        </w:tc>
      </w:tr>
    </w:tbl>
    <w:p/>
    <w:p>
      <w:pPr>
        <w:jc w:val="center"/>
      </w:pPr>
      <w:r>
        <w:rPr>
          <w:b w:val="1"/>
        </w:rPr>
        <w:t>2 СОДЕРЖАНИЕ ДИСЦИПЛИНЫ</w:t>
      </w:r>
    </w:p>
    <w:p/>
    <w:p>
      <w:pPr>
        <w:jc w:val="center"/>
      </w:pPr>
      <w:r>
        <w:rPr>
          <w:b w:val="1"/>
        </w:rPr>
        <w:t>2.1 Тематический план</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147" w:type="pct"/>
          </w:tcPr>
          <w:p>
            <w:pPr>
              <w:jc w:val="center"/>
            </w:pPr>
            <w:r>
              <w:t>№</w:t>
            </w:r>
          </w:p>
        </w:tc>
        <w:tc>
          <w:tcPr>
            <w:tcW w:w="3383" w:type="pct"/>
          </w:tcPr>
          <w:p>
            <w:pPr>
              <w:jc w:val="center"/>
            </w:pPr>
            <w:r>
              <w:t>Наименование темы и ее содержание</w:t>
            </w:r>
          </w:p>
        </w:tc>
        <w:tc>
          <w:tcPr>
            <w:tcW w:w="818" w:type="pct"/>
          </w:tcPr>
          <w:p>
            <w:pPr>
              <w:jc w:val="center"/>
            </w:pPr>
            <w:r>
              <w:t>Трудоемкость в часах</w:t>
            </w:r>
          </w:p>
        </w:tc>
        <w:tc>
          <w:tcPr>
            <w:tcW w:w="818" w:type="pct"/>
          </w:tcPr>
          <w:p>
            <w:pPr>
              <w:jc w:val="center"/>
            </w:pPr>
            <w:r>
              <w:t>Достигаемые результаты CDIO</w:t>
            </w:r>
          </w:p>
        </w:tc>
        <w:tc>
          <w:tcPr>
            <w:tcW w:w="818" w:type="pct"/>
          </w:tcPr>
          <w:p>
            <w:pPr>
              <w:jc w:val="center"/>
            </w:pPr>
            <w:r>
              <w:t>Метод обучения</w:t>
            </w:r>
          </w:p>
        </w:tc>
        <w:tc>
          <w:tcPr>
            <w:tcW w:w="653" w:type="pct"/>
          </w:tcPr>
          <w:p>
            <w:pPr>
              <w:jc w:val="center"/>
            </w:pPr>
            <w:r>
              <w:t>Ссылка на литературу</w:t>
            </w:r>
          </w:p>
        </w:tc>
      </w:tr>
      <w:tr>
        <w:tc>
          <w:tcPr>
            <w:gridSpan w:val="6"/>
          </w:tcPr>
          <w:p>
            <w:pPr>
              <w:jc w:val="center"/>
            </w:pPr>
            <w:r>
              <w:rPr>
                <w:b w:val="1"/>
              </w:rPr>
              <w:t>Лекционные занятия</w:t>
            </w:r>
          </w:p>
        </w:tc>
      </w:tr>
      <w:tr>
        <w:tc>
          <w:p>
            <w:pPr>
              <w:jc w:val="center"/>
            </w:pPr>
            <w:r>
              <w:t>1</w:t>
            </w:r>
          </w:p>
        </w:tc>
        <w:tc>
          <w:p>
            <w:r>
              <w:rPr>
                <w:sz w:val="22"/>
                <w:b w:val="1"/>
              </w:rPr>
              <w:t>Тема 1. 1 ВВОДНАЯ: РАЦИОНАЛЬНОЕ НЕДРОПОЛЬЗОВАНИЕ: РЕСУРСНЫЕ, ЭКОНОМИЧЕСКИЕ, ЭКОЛОГИЧЕСКИЕ И ПРАВОВЫЕ ФАКТОРЫ</w:t>
            </w:r>
          </w:p>
        </w:tc>
        <w:tc>
          <w:p>
            <w:pPr>
              <w:jc w:val="center"/>
            </w:pPr>
            <w:r>
              <w:t>1</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2</w:t>
            </w:r>
          </w:p>
        </w:tc>
        <w:tc>
          <w:p>
            <w:r>
              <w:rPr>
                <w:sz w:val="22"/>
                <w:b w:val="1"/>
              </w:rPr>
              <w:t>Тема 2. 2 ОСВОЕНИЕ МЕСТОРОЖДЕНИЙ ПОЛЕЗНЫХ ИСКОПАЕМЫХ. </w:t>
            </w:r>
          </w:p>
          <w:p>
            <w:r>
              <w:rPr>
                <w:sz w:val="22"/>
              </w:rPr>
              <w:t>
                <w:t> СТАДИЙНОСТЬ ИЗУЧЕНИЯ НЕДР КАЗАХСТАНА И ЗА РУБЕЖОМ. ОБЪЕКТЫ ИЗУЧЕНИЯ, ОСНОВНЫЕ РЕЗУЛЬТАТЫ И ИСТОЧНИКИ ФИНАНСИРОВАНИЯ</w:t>
              </w:t>
            </w:r>
          </w:p>
        </w:tc>
        <w:tc>
          <w:p>
            <w:pPr>
              <w:jc w:val="center"/>
            </w:pPr>
            <w:r>
              <w:t>1</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3</w:t>
            </w:r>
          </w:p>
        </w:tc>
        <w:tc>
          <w:p>
            <w:r>
              <w:rPr>
                <w:sz w:val="22"/>
                <w:b w:val="1"/>
              </w:rPr>
              <w:t>Тема 3. 3 МЕТОДЫ И ТЕХНИЧЕСКИЕ СРЕДСТВА ГЕОЛОГИЧЕСКОГО ИЗУЧЕНИЯ ПРИ ОЦЕНКЕ И РАЗВЕДКЕ МЕСТОРОЖДЕНИЙ. </w:t>
            </w:r>
          </w:p>
          <w:p>
            <w:r>
              <w:rPr>
                <w:sz w:val="22"/>
              </w:rPr>
              <w:t>
                <w:t> ЗАПАСЫ ПОЛЕЗНЫХ ИСКОПАЕМЫХ И ТЕХНОЛОГИИ ИХ ПОДСЧЕТА. ЭКСПЕРТИЗА ГЕОЛОГИЧЕСКИХ МАТЕРИАЛОВ</w:t>
              </w:t>
            </w:r>
          </w:p>
        </w:tc>
        <w:tc>
          <w:p>
            <w:pPr>
              <w:jc w:val="center"/>
            </w:pPr>
            <w:r>
              <w:t>1</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4</w:t>
            </w:r>
          </w:p>
        </w:tc>
        <w:tc>
          <w:p>
            <w:r>
              <w:rPr>
                <w:sz w:val="22"/>
                <w:b w:val="1"/>
              </w:rPr>
              <w:t>Тема 4. 4 ФАКТОРЫ, ВЛИЯЮЩИЕ НА ЭКОНОМИЧЕСКУЮ ОЦЕНКУ МЕСТОРОЖДЕНИЙ. </w:t>
            </w:r>
          </w:p>
          <w:p>
            <w:r>
              <w:rPr>
                <w:sz w:val="22"/>
              </w:rPr>
              <w:t>
                <w:t> КОНЪЮНКТУРА МИНЕРАЛЬНОГО СЫРЬЯ</w:t>
              </w:t>
            </w:r>
          </w:p>
        </w:tc>
        <w:tc>
          <w:p>
            <w:pPr>
              <w:jc w:val="center"/>
            </w:pPr>
            <w:r>
              <w:t>1</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5</w:t>
            </w:r>
          </w:p>
        </w:tc>
        <w:tc>
          <w:p>
            <w:r>
              <w:rPr>
                <w:sz w:val="22"/>
                <w:b w:val="1"/>
              </w:rPr>
              <w:t>Тема 5. 5 ЗАКОНОДАТЕЛЬНАЯ БАЗА НЕДРОПОЛЬЗОВАНИЯ В КАЗАХСТАНЕ</w:t>
            </w:r>
          </w:p>
        </w:tc>
        <w:tc>
          <w:p>
            <w:pPr>
              <w:jc w:val="center"/>
            </w:pPr>
            <w:r>
              <w:t>1</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6</w:t>
            </w:r>
          </w:p>
        </w:tc>
        <w:tc>
          <w:p>
            <w:r>
              <w:rPr>
                <w:sz w:val="22"/>
                <w:b w:val="1"/>
              </w:rPr>
              <w:t>Тема 6. 6 ОСОБЕННОСТИ ОСУЩЕСТВЛЕНИЯ ПРАВА НЕДРОПОЛЬЗОВАНИЯ НА ГОСУДАРСТВЕННОЕ ГЕОЛОГИЧЕСКОЕ ИЗУЧЕНИЕ НЕДР</w:t>
            </w:r>
          </w:p>
        </w:tc>
        <w:tc>
          <w:p>
            <w:pPr>
              <w:jc w:val="center"/>
            </w:pPr>
            <w:r>
              <w:t>1</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7</w:t>
            </w:r>
          </w:p>
        </w:tc>
        <w:tc>
          <w:p>
            <w:r>
              <w:rPr>
                <w:sz w:val="22"/>
                <w:b w:val="1"/>
              </w:rPr>
              <w:t>Тема 7. 7 РЕЖИМЫ ПРАВА НЕДРОПОЛЬЗОВАНИЯ</w:t>
            </w:r>
          </w:p>
        </w:tc>
        <w:tc>
          <w:p>
            <w:pPr>
              <w:jc w:val="center"/>
            </w:pPr>
            <w:r>
              <w:t>1</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8</w:t>
            </w:r>
          </w:p>
        </w:tc>
        <w:tc>
          <w:p>
            <w:r>
              <w:rPr>
                <w:sz w:val="22"/>
                <w:b w:val="1"/>
              </w:rPr>
              <w:t>Тема 8. 8 ПЕРЕХОД ПРАВА НЕДРОПОЛЬЗОВАНИЯ И ОБЪЕКТОВ, СВЯЗАННЫХ С ПРАВОМ НЕДРОПОЛЬЗОВАНИЯ</w:t>
            </w:r>
          </w:p>
        </w:tc>
        <w:tc>
          <w:p>
            <w:pPr>
              <w:jc w:val="center"/>
            </w:pPr>
            <w:r>
              <w:t>1</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9</w:t>
            </w:r>
          </w:p>
        </w:tc>
        <w:tc>
          <w:p>
            <w:r>
              <w:rPr>
                <w:sz w:val="22"/>
                <w:b w:val="1"/>
              </w:rPr>
              <w:t>Тема 9. 9 РАЗВЕДКА ТВЕРДЫХ ПОЛЕЗНЫХ ИСКОПАЕМЫХ</w:t>
            </w:r>
          </w:p>
        </w:tc>
        <w:tc>
          <w:p>
            <w:pPr>
              <w:jc w:val="center"/>
            </w:pPr>
            <w:r>
              <w:t>1</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10</w:t>
            </w:r>
          </w:p>
        </w:tc>
        <w:tc>
          <w:p>
            <w:r>
              <w:rPr>
                <w:sz w:val="22"/>
                <w:b w:val="1"/>
              </w:rPr>
              <w:t>Тема 10. 10 ОТЧЕТНОСТЬ НЕДРОПОЛЬЗОВАТЕЛЯ ПРИ ПРОВЕДЕНИИ ОПЕРАЦИЙ ПО РАЗВЕДКЕ ТВЕРДЫХ ПОЛЕЗНЫХ ИСКОПАЕМЫХ</w:t>
            </w:r>
          </w:p>
        </w:tc>
        <w:tc>
          <w:p>
            <w:pPr>
              <w:jc w:val="center"/>
            </w:pPr>
            <w:r>
              <w:t>1</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11</w:t>
            </w:r>
          </w:p>
        </w:tc>
        <w:tc>
          <w:p>
            <w:r>
              <w:rPr>
                <w:sz w:val="22"/>
                <w:b w:val="1"/>
              </w:rPr>
              <w:t>Тема 11. 11 КОДЕКС KAZRC. </w:t>
            </w:r>
          </w:p>
          <w:p>
            <w:r>
              <w:rPr>
                <w:sz w:val="22"/>
              </w:rPr>
              <w:t>
                <w:t> ПРИНЦИПЫ И ОБЛАСТЬ ПРИМЕНЕНИЯ</w:t>
              </w:t>
            </w:r>
          </w:p>
        </w:tc>
        <w:tc>
          <w:p>
            <w:pPr>
              <w:jc w:val="center"/>
            </w:pPr>
            <w:r>
              <w:t>1</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12</w:t>
            </w:r>
          </w:p>
        </w:tc>
        <w:tc>
          <w:p>
            <w:r>
              <w:rPr>
                <w:sz w:val="22"/>
                <w:b w:val="1"/>
              </w:rPr>
              <w:t>Тема 12. 12 КОДЕКС KAZRC. </w:t>
            </w:r>
          </w:p>
          <w:p>
            <w:r>
              <w:rPr>
                <w:sz w:val="22"/>
              </w:rPr>
              <w:t>
                <w:t> ОТЧЕТНОСТЬ О РЕЗУЛЬТАТАХ ГЕОЛОГОРАЗВЕДОЧНЫХ РАБОТ</w:t>
              </w:t>
            </w:r>
          </w:p>
        </w:tc>
        <w:tc>
          <w:p>
            <w:pPr>
              <w:jc w:val="center"/>
            </w:pPr>
            <w:r>
              <w:t>1</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13</w:t>
            </w:r>
          </w:p>
        </w:tc>
        <w:tc>
          <w:p>
            <w:r>
              <w:rPr>
                <w:sz w:val="22"/>
                <w:b w:val="1"/>
              </w:rPr>
              <w:t>Тема 13. 13 КОДЕКС KAZRC. </w:t>
            </w:r>
          </w:p>
          <w:p>
            <w:r>
              <w:rPr>
                <w:sz w:val="22"/>
              </w:rPr>
              <w:t>
                <w:t> ОТЧЕТНОСТЬ О МИНЕРАЛЬНЫХ РЕСУРСАХ</w:t>
              </w:t>
            </w:r>
          </w:p>
        </w:tc>
        <w:tc>
          <w:p>
            <w:pPr>
              <w:jc w:val="center"/>
            </w:pPr>
            <w:r>
              <w:t>1</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14</w:t>
            </w:r>
          </w:p>
        </w:tc>
        <w:tc>
          <w:p>
            <w:r>
              <w:rPr>
                <w:sz w:val="22"/>
                <w:b w:val="1"/>
              </w:rPr>
              <w:t>Тема 14. 14 КОДЕКС KAZRC. </w:t>
            </w:r>
          </w:p>
          <w:p>
            <w:r>
              <w:rPr>
                <w:sz w:val="22"/>
              </w:rPr>
              <w:t>
                <w:t> ОТЧЕТНОСТЬ О МИНЕРАЛЬНЫХ ЗАПАСАХ</w:t>
              </w:t>
            </w:r>
          </w:p>
        </w:tc>
        <w:tc>
          <w:p>
            <w:pPr>
              <w:jc w:val="center"/>
            </w:pPr>
            <w:r>
              <w:t>1</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15</w:t>
            </w:r>
          </w:p>
        </w:tc>
        <w:tc>
          <w:p>
            <w:r>
              <w:rPr>
                <w:sz w:val="22"/>
                <w:b w:val="1"/>
              </w:rPr>
              <w:t>Тема 15. 15 ГОСУДАРСТВЕННЫЙ ФОНД НЕДР. </w:t>
            </w:r>
          </w:p>
          <w:p>
            <w:r>
              <w:rPr>
                <w:sz w:val="22"/>
              </w:rPr>
              <w:t>
                <w:t> 16 ГЕОЛОГИЧЕСКАЯ ИНФОРМАЦИЯ И ОТЧЕТНОСТЬ НЕДРОПОЛЬЗОВАТЕЛЯ</w:t>
              </w:t>
            </w:r>
          </w:p>
        </w:tc>
        <w:tc>
          <w:p>
            <w:pPr>
              <w:jc w:val="center"/>
            </w:pPr>
            <w:r>
              <w:t>1</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tcPr>
            <w:gridSpan w:val="2"/>
          </w:tcPr>
          <w:p>
            <w:r>
              <w:rPr>
                <w:b w:val="1"/>
              </w:rPr>
              <w:t>ИТОГО</w:t>
            </w:r>
          </w:p>
        </w:tc>
        <w:tc>
          <w:p>
            <w:pPr>
              <w:jc w:val="center"/>
            </w:pPr>
            <w:r>
              <w:rPr>
                <w:b w:val="1"/>
              </w:rPr>
              <w:t>15</w:t>
            </w:r>
          </w:p>
        </w:tc>
        <w:tc>
          <w:tcPr>
            <w:gridSpan w:val="3"/>
          </w:tcPr>
          <w:p/>
        </w:tc>
      </w:tr>
      <w:tr>
        <w:tc>
          <w:tcPr>
            <w:gridSpan w:val="6"/>
          </w:tcPr>
          <w:p>
            <w:pPr>
              <w:jc w:val="center"/>
            </w:pPr>
            <w:r>
              <w:rPr>
                <w:b w:val="1"/>
              </w:rPr>
              <w:t>Практические занятия</w:t>
            </w:r>
          </w:p>
        </w:tc>
      </w:tr>
      <w:tr>
        <w:tc>
          <w:p>
            <w:pPr>
              <w:jc w:val="center"/>
            </w:pPr>
            <w:r>
              <w:t>1</w:t>
            </w:r>
          </w:p>
        </w:tc>
        <w:tc>
          <w:p>
            <w:r>
              <w:rPr>
                <w:sz w:val="22"/>
                <w:b w:val="1"/>
              </w:rPr>
              <w:t>Тема 1. 1 ВВОДНАЯ: РАЦИОНАЛЬНОЕ НЕДРОПОЛЬЗОВАНИЕ: РЕСУРСНЫЕ, ЭКОНОМИЧЕСКИЕ, ЭКОЛОГИЧЕСКИЕ И ПРАВОВЫЕ ФАКТОРЫ</w:t>
            </w:r>
          </w:p>
        </w:tc>
        <w:tc>
          <w:p>
            <w:pPr>
              <w:jc w:val="center"/>
            </w:pPr>
            <w:r>
              <w:t>2</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2</w:t>
            </w:r>
          </w:p>
        </w:tc>
        <w:tc>
          <w:p>
            <w:r>
              <w:rPr>
                <w:sz w:val="22"/>
                <w:b w:val="1"/>
              </w:rPr>
              <w:t>Тема 2. 2 ОСВОЕНИЕ МЕСТОРОЖДЕНИЙ ПОЛЕЗНЫХ ИСКОПАЕМЫХ. </w:t>
            </w:r>
          </w:p>
          <w:p>
            <w:r>
              <w:rPr>
                <w:sz w:val="22"/>
              </w:rPr>
              <w:t>
                <w:t> СТАДИЙНОСТЬ ИЗУЧЕНИЯ НЕДР КАЗАХСТАНА И ЗА РУБЕЖОМ. ОБЪЕКТЫ ИЗУЧЕНИЯ, ОСНОВНЫЕ РЕЗУЛЬТАТЫ И ИСТОЧНИКИ ФИНАНСИРОВАНИЯ</w:t>
              </w:t>
            </w:r>
          </w:p>
        </w:tc>
        <w:tc>
          <w:p>
            <w:pPr>
              <w:jc w:val="center"/>
            </w:pPr>
            <w:r>
              <w:t>2</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3</w:t>
            </w:r>
          </w:p>
        </w:tc>
        <w:tc>
          <w:p>
            <w:r>
              <w:rPr>
                <w:sz w:val="22"/>
                <w:b w:val="1"/>
              </w:rPr>
              <w:t>Тема 3. 3 МЕТОДЫ И ТЕХНИЧЕСКИЕ СРЕДСТВА ГЕОЛОГИЧЕСКОГО ИЗУЧЕНИЯ ПРИ ОЦЕНКЕ И РАЗВЕДКЕ МЕСТОРОЖДЕНИЙ. </w:t>
            </w:r>
          </w:p>
          <w:p>
            <w:r>
              <w:rPr>
                <w:sz w:val="22"/>
              </w:rPr>
              <w:t>
                <w:t> ЗАПАСЫ ПОЛЕЗНЫХ ИСКОПАЕМЫХ И ТЕХНОЛОГИИ ИХ ПОДСЧЕТА. ЭКСПЕРТИЗА ГЕОЛОГИЧЕСКИХ МАТЕРИАЛОВ</w:t>
              </w:t>
            </w:r>
          </w:p>
        </w:tc>
        <w:tc>
          <w:p>
            <w:pPr>
              <w:jc w:val="center"/>
            </w:pPr>
            <w:r>
              <w:t>2</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4</w:t>
            </w:r>
          </w:p>
        </w:tc>
        <w:tc>
          <w:p>
            <w:r>
              <w:rPr>
                <w:sz w:val="22"/>
                <w:b w:val="1"/>
              </w:rPr>
              <w:t>Тема 4. 4 ФАКТОРЫ, ВЛИЯЮЩИЕ НА ЭКОНОМИЧЕСКУЮ ОЦЕНКУ МЕСТОРОЖДЕНИЙ. </w:t>
            </w:r>
          </w:p>
          <w:p>
            <w:r>
              <w:rPr>
                <w:sz w:val="22"/>
              </w:rPr>
              <w:t>
                <w:t> КОНЪЮНКТУРА МИНЕРАЛЬНОГО СЫРЬЯ</w:t>
              </w:t>
            </w:r>
          </w:p>
        </w:tc>
        <w:tc>
          <w:p>
            <w:pPr>
              <w:jc w:val="center"/>
            </w:pPr>
            <w:r>
              <w:t>2</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5</w:t>
            </w:r>
          </w:p>
        </w:tc>
        <w:tc>
          <w:p>
            <w:r>
              <w:rPr>
                <w:sz w:val="22"/>
                <w:b w:val="1"/>
              </w:rPr>
              <w:t>Тема 5. 5 ЗАКОНОДАТЕЛЬНАЯ БАЗА НЕДРОПОЛЬЗОВАНИЯ В КАЗАХСТАНЕ</w:t>
            </w:r>
          </w:p>
        </w:tc>
        <w:tc>
          <w:p>
            <w:pPr>
              <w:jc w:val="center"/>
            </w:pPr>
            <w:r>
              <w:t>2</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6</w:t>
            </w:r>
          </w:p>
        </w:tc>
        <w:tc>
          <w:p>
            <w:r>
              <w:rPr>
                <w:sz w:val="22"/>
                <w:b w:val="1"/>
              </w:rPr>
              <w:t>Тема 6. 6 ОСОБЕННОСТИ ОСУЩЕСТВЛЕНИЯ ПРАВА НЕДРОПОЛЬЗОВАНИЯ НА ГОСУДАРСТВЕННОЕ ГЕОЛОГИЧЕСКОЕ ИЗУЧЕНИЕ НЕДР</w:t>
            </w:r>
          </w:p>
        </w:tc>
        <w:tc>
          <w:p>
            <w:pPr>
              <w:jc w:val="center"/>
            </w:pPr>
            <w:r>
              <w:t>2</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7</w:t>
            </w:r>
          </w:p>
        </w:tc>
        <w:tc>
          <w:p>
            <w:r>
              <w:rPr>
                <w:sz w:val="22"/>
                <w:b w:val="1"/>
              </w:rPr>
              <w:t>Тема 7. 7 РЕЖИМЫ ПРАВА НЕДРОПОЛЬЗОВАНИЯ</w:t>
            </w:r>
          </w:p>
        </w:tc>
        <w:tc>
          <w:p>
            <w:pPr>
              <w:jc w:val="center"/>
            </w:pPr>
            <w:r>
              <w:t>2</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8</w:t>
            </w:r>
          </w:p>
        </w:tc>
        <w:tc>
          <w:p>
            <w:r>
              <w:rPr>
                <w:sz w:val="22"/>
                <w:b w:val="1"/>
              </w:rPr>
              <w:t>Тема 8. 8 ПЕРЕХОД ПРАВА НЕДРОПОЛЬЗОВАНИЯ И ОБЪЕКТОВ, СВЯЗАННЫХ С ПРАВОМ НЕДРОПОЛЬЗОВАНИЯ</w:t>
            </w:r>
          </w:p>
        </w:tc>
        <w:tc>
          <w:p>
            <w:pPr>
              <w:jc w:val="center"/>
            </w:pPr>
            <w:r>
              <w:t>2</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9</w:t>
            </w:r>
          </w:p>
        </w:tc>
        <w:tc>
          <w:p>
            <w:r>
              <w:rPr>
                <w:sz w:val="22"/>
                <w:b w:val="1"/>
              </w:rPr>
              <w:t>Тема 9. 9 РАЗВЕДКА ТВЕРДЫХ ПОЛЕЗНЫХ ИСКОПАЕМЫХ</w:t>
            </w:r>
          </w:p>
        </w:tc>
        <w:tc>
          <w:p>
            <w:pPr>
              <w:jc w:val="center"/>
            </w:pPr>
            <w:r>
              <w:t>2</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10</w:t>
            </w:r>
          </w:p>
        </w:tc>
        <w:tc>
          <w:p>
            <w:r>
              <w:rPr>
                <w:sz w:val="22"/>
                <w:b w:val="1"/>
              </w:rPr>
              <w:t>Тема 10. 10 ОТЧЕТНОСТЬ НЕДРОПОЛЬЗОВАТЕЛЯ ПРИ ПРОВЕДЕНИИ ОПЕРАЦИЙ ПО РАЗВЕДКЕ ТВЕРДЫХ ПОЛЕЗНЫХ ИСКОПАЕМЫХ</w:t>
            </w:r>
          </w:p>
        </w:tc>
        <w:tc>
          <w:p>
            <w:pPr>
              <w:jc w:val="center"/>
            </w:pPr>
            <w:r>
              <w:t>2</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11</w:t>
            </w:r>
          </w:p>
        </w:tc>
        <w:tc>
          <w:p>
            <w:r>
              <w:rPr>
                <w:sz w:val="22"/>
                <w:b w:val="1"/>
              </w:rPr>
              <w:t>Тема 11. 11 КОДЕКС KAZRC. </w:t>
            </w:r>
          </w:p>
          <w:p>
            <w:r>
              <w:rPr>
                <w:sz w:val="22"/>
              </w:rPr>
              <w:t>
                <w:t> ПРИНЦИПЫ И ОБЛАСТЬ ПРИМЕНЕНИЯ</w:t>
              </w:t>
            </w:r>
          </w:p>
        </w:tc>
        <w:tc>
          <w:p>
            <w:pPr>
              <w:jc w:val="center"/>
            </w:pPr>
            <w:r>
              <w:t>2</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12</w:t>
            </w:r>
          </w:p>
        </w:tc>
        <w:tc>
          <w:p>
            <w:r>
              <w:rPr>
                <w:sz w:val="22"/>
                <w:b w:val="1"/>
              </w:rPr>
              <w:t>Тема 12. 12 КОДЕКС KAZRC. </w:t>
            </w:r>
          </w:p>
          <w:p>
            <w:r>
              <w:rPr>
                <w:sz w:val="22"/>
              </w:rPr>
              <w:t>
                <w:t> ОТЧЕТНОСТЬ О РЕЗУЛЬТАТАХ ГЕОЛОГОРАЗВЕДОЧНЫХ РАБОТ</w:t>
              </w:t>
            </w:r>
          </w:p>
        </w:tc>
        <w:tc>
          <w:p>
            <w:pPr>
              <w:jc w:val="center"/>
            </w:pPr>
            <w:r>
              <w:t>2</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13</w:t>
            </w:r>
          </w:p>
        </w:tc>
        <w:tc>
          <w:p>
            <w:r>
              <w:rPr>
                <w:sz w:val="22"/>
                <w:b w:val="1"/>
              </w:rPr>
              <w:t>Тема 13. 13 КОДЕКС KAZRC. </w:t>
            </w:r>
          </w:p>
          <w:p>
            <w:r>
              <w:rPr>
                <w:sz w:val="22"/>
              </w:rPr>
              <w:t>
                <w:t> ОТЧЕТНОСТЬ О МИНЕРАЛЬНЫХ РЕСУРСАХ</w:t>
              </w:t>
            </w:r>
          </w:p>
        </w:tc>
        <w:tc>
          <w:p>
            <w:pPr>
              <w:jc w:val="center"/>
            </w:pPr>
            <w:r>
              <w:t>2</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14</w:t>
            </w:r>
          </w:p>
        </w:tc>
        <w:tc>
          <w:p>
            <w:r>
              <w:rPr>
                <w:sz w:val="22"/>
                <w:b w:val="1"/>
              </w:rPr>
              <w:t>Тема 14. 14 КОДЕКС KAZRC. </w:t>
            </w:r>
          </w:p>
          <w:p>
            <w:r>
              <w:rPr>
                <w:sz w:val="22"/>
              </w:rPr>
              <w:t>
                <w:t> ОТЧЕТНОСТЬ О МИНЕРАЛЬНЫХ ЗАПАСАХ</w:t>
              </w:t>
            </w:r>
          </w:p>
        </w:tc>
        <w:tc>
          <w:p>
            <w:pPr>
              <w:jc w:val="center"/>
            </w:pPr>
            <w:r>
              <w:t>2</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p>
            <w:pPr>
              <w:jc w:val="center"/>
            </w:pPr>
            <w:r>
              <w:t>15</w:t>
            </w:r>
          </w:p>
        </w:tc>
        <w:tc>
          <w:p>
            <w:r>
              <w:rPr>
                <w:sz w:val="22"/>
                <w:b w:val="1"/>
              </w:rPr>
              <w:t>Тема 15. 15 ГОСУДАРСТВЕННЫЙ ФОНД НЕДР
16 ГЕОЛОГИЧЕСКАЯ ИНФОРМАЦИЯ И ОТЧЕТНОСТЬ НЕДРОПОЛЬЗОВАТЕЛЯ</w:t>
            </w:r>
          </w:p>
        </w:tc>
        <w:tc>
          <w:p>
            <w:pPr>
              <w:jc w:val="center"/>
            </w:pPr>
            <w:r>
              <w:t>2</w:t>
            </w:r>
          </w:p>
        </w:tc>
        <w:tc>
          <w:p>
            <w:r>
              <w:rPr>
                <w:sz w:val="20"/>
              </w:rPr>
              <w:t>Применение знаний при проектировании</w:t>
            </w:r>
          </w:p>
        </w:tc>
        <w:tc>
          <w:p>
            <w:r>
              <w:rPr>
                <w:sz w:val="20"/>
              </w:rPr>
              <w:t>Интерактивное обучение</w:t>
            </w:r>
          </w:p>
        </w:tc>
        <w:tc>
          <w:p>
            <w:pPr>
              <w:jc w:val="center"/>
            </w:pPr>
            <w:r>
              <w:t>1-4</w:t>
            </w:r>
          </w:p>
        </w:tc>
      </w:tr>
      <w:tr>
        <w:tc>
          <w:tcPr>
            <w:gridSpan w:val="2"/>
          </w:tcPr>
          <w:p>
            <w:r>
              <w:rPr>
                <w:b w:val="1"/>
              </w:rPr>
              <w:t>ИТОГО</w:t>
            </w:r>
          </w:p>
        </w:tc>
        <w:tc>
          <w:p>
            <w:pPr>
              <w:jc w:val="center"/>
            </w:pPr>
            <w:r>
              <w:rPr>
                <w:b w:val="1"/>
              </w:rPr>
              <w:t>30</w:t>
            </w:r>
          </w:p>
        </w:tc>
        <w:tc>
          <w:tcPr>
            <w:gridSpan w:val="3"/>
          </w:tcPr>
          <w:p/>
        </w:tc>
      </w:tr>
    </w:tbl>
    <w:p/>
    <w:p>
      <w:pPr>
        <w:jc w:val="center"/>
      </w:pPr>
      <w:r>
        <w:rPr>
          <w:b w:val="1"/>
        </w:rPr>
        <w:t>2.2 Задания для самостоятельной работы обучающегося (СРО)</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rHeight w:val="1229"/>
          <w:tblHeader w:val="1"/>
        </w:trPr>
        <w:tc>
          <w:tcPr>
            <w:tcW w:w="1026" w:type="pct"/>
          </w:tcPr>
          <w:p>
            <w:pPr>
              <w:jc w:val="center"/>
            </w:pPr>
            <w:r>
              <w:t>Тема</w:t>
            </w:r>
          </w:p>
        </w:tc>
        <w:tc>
          <w:tcPr>
            <w:tcW w:w="1140" w:type="pct"/>
          </w:tcPr>
          <w:p>
            <w:pPr>
              <w:jc w:val="center"/>
            </w:pPr>
            <w:r>
              <w:t>Содержание задания</w:t>
            </w:r>
          </w:p>
        </w:tc>
        <w:tc>
          <w:tcPr>
            <w:tcW w:w="620" w:type="pct"/>
          </w:tcPr>
          <w:p>
            <w:pPr>
              <w:jc w:val="center"/>
            </w:pPr>
            <w:r>
              <w:t>Форма контроля</w:t>
            </w:r>
          </w:p>
        </w:tc>
        <w:tc>
          <w:tcPr>
            <w:tcW w:w="723" w:type="pct"/>
          </w:tcPr>
          <w:p>
            <w:pPr>
              <w:jc w:val="center"/>
            </w:pPr>
            <w:r>
              <w:t>Срок сдачи, неделя</w:t>
            </w:r>
          </w:p>
        </w:tc>
        <w:tc>
          <w:tcPr>
            <w:tcW w:w="822" w:type="pct"/>
          </w:tcPr>
          <w:p>
            <w:pPr>
              <w:jc w:val="center"/>
            </w:pPr>
            <w:r>
              <w:t>Трудоемкость в часах</w:t>
            </w:r>
          </w:p>
        </w:tc>
        <w:tc>
          <w:tcPr>
            <w:tcW w:w="669" w:type="pct"/>
          </w:tcPr>
          <w:p>
            <w:pPr>
              <w:jc w:val="center"/>
            </w:pPr>
            <w:r>
              <w:t>Результаты CDIO</w:t>
            </w:r>
          </w:p>
        </w:tc>
      </w:tr>
      <w:tr>
        <w:tc>
          <w:p>
            <w:r>
              <w:rPr>
                <w:sz w:val="22"/>
              </w:rPr>
              <w:t>Разработка Плана геологоразведочных работ</w:t>
            </w:r>
          </w:p>
        </w:tc>
        <w:tc>
          <w:p>
            <w:r>
              <w:rPr>
                <w:sz w:val="22"/>
              </w:rPr>
              <w:t>Согласно инструкции составить План ГРР. Описать виды, методы и способы работ по разведке твердых полезных ископаемых, примерные объемы и сроки проведения работ в перспективе</w:t>
            </w:r>
          </w:p>
        </w:tc>
        <w:tc>
          <w:p>
            <w:pPr>
              <w:jc w:val="center"/>
            </w:pPr>
            <w:r>
              <w:rPr>
                <w:sz w:val="22"/>
              </w:rPr>
              <w:t>Отчет</w:t>
            </w:r>
          </w:p>
        </w:tc>
        <w:tc>
          <w:p>
            <w:pPr>
              <w:jc w:val="center"/>
            </w:pPr>
            <w:r>
              <w:t>15</w:t>
            </w:r>
          </w:p>
        </w:tc>
        <w:tc>
          <w:p>
            <w:pPr>
              <w:jc w:val="center"/>
            </w:pPr>
            <w:r>
              <w:t>75</w:t>
            </w:r>
          </w:p>
        </w:tc>
        <w:tc>
          <w:p>
            <w:r>
              <w:rPr>
                <w:sz w:val="20"/>
              </w:rPr>
              <w:t>Стадии и методы проектирования</w:t>
            </w:r>
          </w:p>
        </w:tc>
      </w:tr>
      <w:tr>
        <w:tc>
          <w:tcPr>
            <w:gridSpan w:val="4"/>
          </w:tcPr>
          <w:p>
            <w:r>
              <w:rPr>
                <w:b w:val="1"/>
              </w:rPr>
              <w:t>ИТОГО</w:t>
            </w:r>
          </w:p>
        </w:tc>
        <w:tc>
          <w:p>
            <w:pPr>
              <w:jc w:val="center"/>
            </w:pPr>
            <w:r>
              <w:rPr>
                <w:b w:val="1"/>
              </w:rPr>
              <w:t>75</w:t>
            </w:r>
          </w:p>
        </w:tc>
        <w:tc>
          <w:p/>
        </w:tc>
      </w:tr>
    </w:tbl>
    <w:p/>
    <w:p>
      <w:pPr>
        <w:jc w:val="center"/>
      </w:pPr>
      <w:r>
        <w:rPr>
          <w:b w:val="1"/>
        </w:rPr>
        <w:t>2.3 График сдачи заданий по дисциплине</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1850"/>
            <w:vMerge w:val="restart"/>
          </w:tcPr>
          <w:p>
            <w:pPr>
              <w:jc w:val="center"/>
            </w:pPr>
            <w:r>
              <w:t>Вид задания</w:t>
            </w:r>
          </w:p>
        </w:tc>
        <w:tc>
          <w:tcPr>
            <w:gridSpan w:val="15"/>
          </w:tcPr>
          <w:p>
            <w:pPr>
              <w:jc w:val="center"/>
            </w:pPr>
            <w:r>
              <w:t>Академический период обучения, неделя</w:t>
            </w:r>
          </w:p>
        </w:tc>
      </w:tr>
      <w:tr>
        <w:trPr>
          <w:tblHeader w:val="1"/>
        </w:trPr>
        <w:tc>
          <w:tcPr>
            <w:vMerge w:val="continue"/>
          </w:tcPr>
          <w:p/>
        </w:tc>
        <w:tc>
          <w:tcPr>
            <w:tcW w:type="pct" w:w="210"/>
          </w:tcPr>
          <w:p>
            <w:pPr>
              <w:jc w:val="center"/>
            </w:pPr>
            <w:r>
              <w:t>1</w:t>
            </w:r>
          </w:p>
        </w:tc>
        <w:tc>
          <w:tcPr>
            <w:tcW w:type="pct" w:w="210"/>
          </w:tcPr>
          <w:p>
            <w:pPr>
              <w:jc w:val="center"/>
            </w:pPr>
            <w:r>
              <w:t>2</w:t>
            </w:r>
          </w:p>
        </w:tc>
        <w:tc>
          <w:tcPr>
            <w:tcW w:type="pct" w:w="210"/>
          </w:tcPr>
          <w:p>
            <w:pPr>
              <w:jc w:val="center"/>
            </w:pPr>
            <w:r>
              <w:t>3</w:t>
            </w:r>
          </w:p>
        </w:tc>
        <w:tc>
          <w:tcPr>
            <w:tcW w:type="pct" w:w="210"/>
          </w:tcPr>
          <w:p>
            <w:pPr>
              <w:jc w:val="center"/>
            </w:pPr>
            <w:r>
              <w:t>4</w:t>
            </w:r>
          </w:p>
        </w:tc>
        <w:tc>
          <w:tcPr>
            <w:tcW w:type="pct" w:w="210"/>
          </w:tcPr>
          <w:p>
            <w:pPr>
              <w:jc w:val="center"/>
            </w:pPr>
            <w:r>
              <w:t>5</w:t>
            </w:r>
          </w:p>
        </w:tc>
        <w:tc>
          <w:tcPr>
            <w:tcW w:type="pct" w:w="210"/>
          </w:tcPr>
          <w:p>
            <w:pPr>
              <w:jc w:val="center"/>
            </w:pPr>
            <w:r>
              <w:t>6</w:t>
            </w:r>
          </w:p>
        </w:tc>
        <w:tc>
          <w:tcPr>
            <w:tcW w:type="pct" w:w="210"/>
          </w:tcPr>
          <w:p>
            <w:pPr>
              <w:jc w:val="center"/>
            </w:pPr>
            <w:r>
              <w:t>7</w:t>
            </w:r>
          </w:p>
        </w:tc>
        <w:tc>
          <w:tcPr>
            <w:tcW w:type="pct" w:w="210"/>
          </w:tcPr>
          <w:p>
            <w:pPr>
              <w:jc w:val="center"/>
            </w:pPr>
            <w:r>
              <w:t>8</w:t>
            </w:r>
          </w:p>
        </w:tc>
        <w:tc>
          <w:tcPr>
            <w:tcW w:type="pct" w:w="210"/>
          </w:tcPr>
          <w:p>
            <w:pPr>
              <w:jc w:val="center"/>
            </w:pPr>
            <w:r>
              <w:t>9</w:t>
            </w:r>
          </w:p>
        </w:tc>
        <w:tc>
          <w:tcPr>
            <w:tcW w:type="pct" w:w="210"/>
          </w:tcPr>
          <w:p>
            <w:pPr>
              <w:jc w:val="center"/>
            </w:pPr>
            <w:r>
              <w:t>10</w:t>
            </w:r>
          </w:p>
        </w:tc>
        <w:tc>
          <w:tcPr>
            <w:tcW w:type="pct" w:w="210"/>
          </w:tcPr>
          <w:p>
            <w:pPr>
              <w:jc w:val="center"/>
            </w:pPr>
            <w:r>
              <w:t>11</w:t>
            </w:r>
          </w:p>
        </w:tc>
        <w:tc>
          <w:tcPr>
            <w:tcW w:type="pct" w:w="210"/>
          </w:tcPr>
          <w:p>
            <w:pPr>
              <w:jc w:val="center"/>
            </w:pPr>
            <w:r>
              <w:t>12</w:t>
            </w:r>
          </w:p>
        </w:tc>
        <w:tc>
          <w:tcPr>
            <w:tcW w:type="pct" w:w="210"/>
          </w:tcPr>
          <w:p>
            <w:pPr>
              <w:jc w:val="center"/>
            </w:pPr>
            <w:r>
              <w:t>13</w:t>
            </w:r>
          </w:p>
        </w:tc>
        <w:tc>
          <w:tcPr>
            <w:tcW w:type="pct" w:w="210"/>
          </w:tcPr>
          <w:p>
            <w:pPr>
              <w:jc w:val="center"/>
            </w:pPr>
            <w:r>
              <w:t>14</w:t>
            </w:r>
          </w:p>
        </w:tc>
        <w:tc>
          <w:tcPr>
            <w:tcW w:type="pct" w:w="210"/>
          </w:tcPr>
          <w:p>
            <w:pPr>
              <w:jc w:val="center"/>
            </w:pPr>
            <w:r>
              <w:t>15</w:t>
            </w:r>
          </w:p>
        </w:tc>
      </w:tr>
      <w:tr>
        <w:tc>
          <w:tcPr>
            <w:gridSpan w:val="16"/>
          </w:tcPr>
          <w:p>
            <w:pPr>
              <w:jc w:val="center"/>
            </w:pPr>
            <w:r>
              <w:t>Знание</w:t>
            </w:r>
          </w:p>
        </w:tc>
      </w:tr>
      <w:tr>
        <w:tc>
          <w:p>
            <w:r>
              <w:t>Лекции о проверка знаний по материалам лекций</w:t>
            </w: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r>
      <w:tr>
        <w:tc>
          <w:tcPr>
            <w:gridSpan w:val="16"/>
          </w:tcPr>
          <w:p>
            <w:pPr>
              <w:jc w:val="center"/>
            </w:pPr>
            <w:r>
              <w:t>Понимание</w:t>
            </w:r>
          </w:p>
        </w:tc>
      </w:tr>
      <w:tr>
        <w:tc>
          <w:p>
            <w:r>
              <w:t>Практические занятия</w:t>
            </w:r>
          </w:p>
        </w:tc>
        <w:tc>
          <w:p>
            <w:pPr>
              <w:jc w:val="center"/>
            </w:pPr>
          </w:p>
        </w:tc>
        <w:tc>
          <w:p>
            <w:pPr>
              <w:jc w:val="center"/>
            </w:pPr>
            <w:r>
              <w:t>+</w:t>
            </w:r>
          </w:p>
        </w:tc>
        <w:tc>
          <w:p>
            <w:pPr>
              <w:jc w:val="center"/>
            </w:pPr>
          </w:p>
        </w:tc>
        <w:tc>
          <w:p>
            <w:pPr>
              <w:jc w:val="center"/>
            </w:pPr>
            <w:r>
              <w:t>+</w:t>
            </w:r>
          </w:p>
        </w:tc>
        <w:tc>
          <w:p>
            <w:pPr>
              <w:jc w:val="center"/>
            </w:pPr>
          </w:p>
        </w:tc>
        <w:tc>
          <w:p>
            <w:pPr>
              <w:jc w:val="center"/>
            </w:pPr>
            <w:r>
              <w:t>+</w:t>
            </w:r>
          </w:p>
        </w:tc>
        <w:tc>
          <w:p>
            <w:pPr>
              <w:jc w:val="center"/>
            </w:pPr>
            <w:r>
              <w:t>+</w:t>
            </w:r>
          </w:p>
        </w:tc>
        <w:tc>
          <w:p>
            <w:pPr>
              <w:jc w:val="center"/>
            </w:pPr>
            <w:r>
              <w:t>+</w:t>
            </w:r>
          </w:p>
        </w:tc>
        <w:tc>
          <w:p>
            <w:pPr>
              <w:jc w:val="center"/>
            </w:pPr>
          </w:p>
        </w:tc>
        <w:tc>
          <w:p>
            <w:pPr>
              <w:jc w:val="center"/>
            </w:pPr>
            <w:r>
              <w:t>+</w:t>
            </w:r>
          </w:p>
        </w:tc>
        <w:tc>
          <w:p>
            <w:pPr>
              <w:jc w:val="center"/>
            </w:pPr>
          </w:p>
        </w:tc>
        <w:tc>
          <w:p>
            <w:pPr>
              <w:jc w:val="center"/>
            </w:pPr>
            <w:r>
              <w:t>+</w:t>
            </w:r>
          </w:p>
        </w:tc>
        <w:tc>
          <w:p>
            <w:pPr>
              <w:jc w:val="center"/>
            </w:pPr>
          </w:p>
        </w:tc>
        <w:tc>
          <w:p>
            <w:pPr>
              <w:jc w:val="center"/>
            </w:pPr>
            <w:r>
              <w:t>+</w:t>
            </w:r>
          </w:p>
        </w:tc>
        <w:tc>
          <w:p>
            <w:pPr>
              <w:jc w:val="center"/>
            </w:pPr>
            <w:r>
              <w:t>+</w:t>
            </w:r>
          </w:p>
        </w:tc>
      </w:tr>
      <w:tr>
        <w:tc>
          <w:p>
            <w:r>
              <w:t>СРО</w:t>
            </w: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r>
              <w:t>+</w:t>
            </w: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r>
              <w:t>+</w:t>
            </w:r>
          </w:p>
        </w:tc>
        <w:tc>
          <w:p>
            <w:pPr>
              <w:jc w:val="center"/>
            </w:pPr>
          </w:p>
        </w:tc>
      </w:tr>
      <w:tr>
        <w:tc>
          <w:tcPr>
            <w:gridSpan w:val="16"/>
          </w:tcPr>
          <w:p>
            <w:pPr>
              <w:jc w:val="center"/>
            </w:pPr>
            <w:r>
              <w:t>Применение</w:t>
            </w:r>
          </w:p>
        </w:tc>
      </w:tr>
      <w:tr>
        <w:tc>
          <w:p>
            <w:r>
              <w:t>Практические занятия</w:t>
            </w:r>
          </w:p>
        </w:tc>
        <w:tc>
          <w:p>
            <w:pPr>
              <w:jc w:val="center"/>
            </w:pPr>
          </w:p>
        </w:tc>
        <w:tc>
          <w:p>
            <w:pPr>
              <w:jc w:val="center"/>
            </w:pPr>
            <w:r>
              <w:t>+</w:t>
            </w:r>
          </w:p>
        </w:tc>
        <w:tc>
          <w:p>
            <w:pPr>
              <w:jc w:val="center"/>
            </w:pPr>
          </w:p>
        </w:tc>
        <w:tc>
          <w:p>
            <w:pPr>
              <w:jc w:val="center"/>
            </w:pPr>
            <w:r>
              <w:t>+</w:t>
            </w:r>
          </w:p>
        </w:tc>
        <w:tc>
          <w:p>
            <w:pPr>
              <w:jc w:val="center"/>
            </w:pPr>
          </w:p>
        </w:tc>
        <w:tc>
          <w:p>
            <w:pPr>
              <w:jc w:val="center"/>
            </w:pPr>
            <w:r>
              <w:t>+</w:t>
            </w:r>
          </w:p>
        </w:tc>
        <w:tc>
          <w:p>
            <w:pPr>
              <w:jc w:val="center"/>
            </w:pPr>
            <w:r>
              <w:t>+</w:t>
            </w:r>
          </w:p>
        </w:tc>
        <w:tc>
          <w:p>
            <w:pPr>
              <w:jc w:val="center"/>
            </w:pPr>
            <w:r>
              <w:t>+</w:t>
            </w:r>
          </w:p>
        </w:tc>
        <w:tc>
          <w:p>
            <w:pPr>
              <w:jc w:val="center"/>
            </w:pPr>
          </w:p>
        </w:tc>
        <w:tc>
          <w:p>
            <w:pPr>
              <w:jc w:val="center"/>
            </w:pPr>
            <w:r>
              <w:t>+</w:t>
            </w:r>
          </w:p>
        </w:tc>
        <w:tc>
          <w:p>
            <w:pPr>
              <w:jc w:val="center"/>
            </w:pPr>
          </w:p>
        </w:tc>
        <w:tc>
          <w:p>
            <w:pPr>
              <w:jc w:val="center"/>
            </w:pPr>
            <w:r>
              <w:t>+</w:t>
            </w:r>
          </w:p>
        </w:tc>
        <w:tc>
          <w:p>
            <w:pPr>
              <w:jc w:val="center"/>
            </w:pPr>
          </w:p>
        </w:tc>
        <w:tc>
          <w:p>
            <w:pPr>
              <w:jc w:val="center"/>
            </w:pPr>
            <w:r>
              <w:t>+</w:t>
            </w:r>
          </w:p>
        </w:tc>
        <w:tc>
          <w:p>
            <w:pPr>
              <w:jc w:val="center"/>
            </w:pPr>
            <w:r>
              <w:t>+</w:t>
            </w:r>
          </w:p>
        </w:tc>
      </w:tr>
      <w:tr>
        <w:tc>
          <w:p>
            <w:r>
              <w:t>Рубежный контроль</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p>
        </w:tc>
        <w:tc>
          <w:p>
            <w:pPr>
              <w:jc w:val="center"/>
            </w:pPr>
          </w:p>
        </w:tc>
        <w:tc>
          <w:p>
            <w:pPr>
              <w:jc w:val="center"/>
            </w:pPr>
          </w:p>
        </w:tc>
        <w:tc>
          <w:p>
            <w:pPr>
              <w:jc w:val="center"/>
            </w:pPr>
          </w:p>
        </w:tc>
        <w:tc>
          <w:p>
            <w:pPr>
              <w:jc w:val="center"/>
            </w:pPr>
            <w:r>
              <w:t>+</w:t>
            </w:r>
          </w:p>
        </w:tc>
      </w:tr>
      <w:tr>
        <w:tc>
          <w:tcPr>
            <w:gridSpan w:val="16"/>
          </w:tcPr>
          <w:p>
            <w:pPr>
              <w:jc w:val="center"/>
            </w:pPr>
            <w:r>
              <w:t>Анализ</w:t>
            </w:r>
          </w:p>
        </w:tc>
      </w:tr>
      <w:tr>
        <w:tc>
          <w:p>
            <w:r>
              <w:t>СРО</w:t>
            </w:r>
          </w:p>
        </w:tc>
        <w:tc>
          <w:p>
            <w:pPr>
              <w:jc w:val="center"/>
            </w:pPr>
          </w:p>
        </w:tc>
        <w:tc>
          <w:p>
            <w:pPr>
              <w:jc w:val="center"/>
            </w:pPr>
          </w:p>
        </w:tc>
        <w:tc>
          <w:p>
            <w:pPr>
              <w:jc w:val="center"/>
            </w:pPr>
          </w:p>
        </w:tc>
        <w:tc>
          <w:p>
            <w:pPr>
              <w:jc w:val="center"/>
            </w:pPr>
          </w:p>
        </w:tc>
        <w:tc>
          <w:p>
            <w:pPr>
              <w:jc w:val="center"/>
            </w:pPr>
            <w:r>
              <w:t>+</w:t>
            </w:r>
          </w:p>
        </w:tc>
        <w:tc>
          <w:p>
            <w:pPr>
              <w:jc w:val="center"/>
            </w:pPr>
          </w:p>
        </w:tc>
        <w:tc>
          <w:p>
            <w:pPr>
              <w:jc w:val="center"/>
            </w:pPr>
            <w:r>
              <w:t>+</w:t>
            </w:r>
          </w:p>
        </w:tc>
        <w:tc>
          <w:p>
            <w:pPr>
              <w:jc w:val="center"/>
            </w:pPr>
          </w:p>
        </w:tc>
        <w:tc>
          <w:p>
            <w:pPr>
              <w:jc w:val="center"/>
            </w:pPr>
          </w:p>
        </w:tc>
        <w:tc>
          <w:p>
            <w:pPr>
              <w:jc w:val="center"/>
            </w:pPr>
          </w:p>
        </w:tc>
        <w:tc>
          <w:p>
            <w:pPr>
              <w:jc w:val="center"/>
            </w:pPr>
            <w:r>
              <w:t>+</w:t>
            </w:r>
          </w:p>
        </w:tc>
        <w:tc>
          <w:p>
            <w:pPr>
              <w:jc w:val="center"/>
            </w:pPr>
          </w:p>
        </w:tc>
        <w:tc>
          <w:p>
            <w:pPr>
              <w:jc w:val="center"/>
            </w:pPr>
          </w:p>
        </w:tc>
        <w:tc>
          <w:p>
            <w:pPr>
              <w:jc w:val="center"/>
            </w:pPr>
            <w:r>
              <w:t>+</w:t>
            </w:r>
          </w:p>
        </w:tc>
        <w:tc>
          <w:p>
            <w:pPr>
              <w:jc w:val="center"/>
            </w:pPr>
          </w:p>
        </w:tc>
      </w:tr>
    </w:tbl>
    <w:p/>
    <w:p>
      <w:pPr>
        <w:jc w:val="center"/>
      </w:pPr>
      <w:r>
        <w:rPr>
          <w:b w:val="1"/>
        </w:rPr>
        <w:t>3 ОЦЕНКА ЗНАНИЙ ОБУЧАЮЩЕГОСЯ</w:t>
      </w:r>
    </w:p>
    <w:p/>
    <w:p>
      <w:pPr>
        <w:ind w:firstLine="567"/>
      </w:pPr>
      <w:r>
        <w:t>Преподаватель проводит все виды работ текущего контроля и выводит соответствующую оценку текущей успеваемости обучающихся два раза в академический период. По результатам текущего контроля формируется рейтинг 1 и 2. Учебные достижения обучающегося оцениваются по 100-балльной шкале, итоговая оценка Р1 и Р2 выводится как средняя арифметическая из оценок текущей успеваемости. Оценка работы обучающегося в академическом периоде осуществляется преподавателем в соответствии с графиком сдачи заданий по дисциплине. Система контроля может сочетать письменные и устные, групповые и индивидуальные формы.</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type="pct" w:w="500"/>
          </w:tcPr>
          <w:p>
            <w:pPr>
              <w:jc w:val="center"/>
            </w:pPr>
            <w:r>
              <w:t>Период</w:t>
            </w:r>
          </w:p>
        </w:tc>
        <w:tc>
          <w:tcPr>
            <w:tcW w:type="pct" w:w="2500"/>
          </w:tcPr>
          <w:p>
            <w:pPr>
              <w:jc w:val="center"/>
            </w:pPr>
            <w:r>
              <w:t>Вид работы</w:t>
            </w:r>
          </w:p>
        </w:tc>
        <w:tc>
          <w:tcPr>
            <w:tcW w:type="pct" w:w="500"/>
          </w:tcPr>
          <w:p>
            <w:pPr>
              <w:jc w:val="center"/>
            </w:pPr>
            <w:r>
              <w:t>Итоговая оценка</w:t>
            </w:r>
          </w:p>
        </w:tc>
      </w:tr>
      <w:tr>
        <w:tc>
          <w:tcPr>
            <w:tcW w:w="0" w:type="auto"/>
            <w:vMerge w:val="restart"/>
          </w:tcPr>
          <w:p>
            <w:pPr>
              <w:jc w:val="center"/>
            </w:pPr>
            <w:r>
              <w:t>1-й рейтинг</w:t>
            </w:r>
          </w:p>
        </w:tc>
        <w:tc>
          <w:tcPr>
            <w:tcW w:w="0" w:type="auto"/>
          </w:tcPr>
          <w:p>
            <w:r>
              <w:t>Практические занятия</w:t>
            </w:r>
          </w:p>
        </w:tc>
        <w:tc>
          <w:tcPr>
            <w:tcW w:w="0" w:type="auto"/>
            <w:vMerge w:val="restart"/>
          </w:tcPr>
          <w:p>
            <w:pPr>
              <w:jc w:val="center"/>
            </w:pPr>
            <w:r>
              <w:t>0-100</w:t>
            </w:r>
          </w:p>
        </w:tc>
      </w:tr>
      <w:tr>
        <w:tc>
          <w:tcPr>
            <w:tcW w:w="0" w:type="auto"/>
            <w:vMerge/>
          </w:tcPr>
          <w:p>
            <w:pPr>
              <w:jc w:val="center"/>
            </w:pPr>
          </w:p>
        </w:tc>
        <w:tc>
          <w:tcPr>
            <w:tcW w:w="0" w:type="auto"/>
          </w:tcPr>
          <w:p>
            <w:r>
              <w:t>Лекции о проверка знаний по материалам лекций</w:t>
            </w:r>
          </w:p>
        </w:tc>
        <w:tc>
          <w:tcPr>
            <w:tcW w:w="0" w:type="auto"/>
            <w:vMerge/>
          </w:tcPr>
          <w:p>
            <w:pPr>
              <w:jc w:val="center"/>
            </w:pPr>
          </w:p>
        </w:tc>
      </w:tr>
      <w:tr>
        <w:tc>
          <w:tcPr>
            <w:tcW w:w="0" w:type="auto"/>
            <w:vMerge/>
          </w:tcPr>
          <w:p>
            <w:pPr>
              <w:jc w:val="center"/>
            </w:pPr>
          </w:p>
        </w:tc>
        <w:tc>
          <w:tcPr>
            <w:tcW w:w="0" w:type="auto"/>
          </w:tcPr>
          <w:p>
            <w:r>
              <w:t>Практические занятия</w:t>
            </w:r>
          </w:p>
        </w:tc>
        <w:tc>
          <w:tcPr>
            <w:tcW w:w="0" w:type="auto"/>
            <w:vMerge/>
          </w:tcPr>
          <w:p>
            <w:pPr>
              <w:jc w:val="center"/>
            </w:pPr>
          </w:p>
        </w:tc>
      </w:tr>
      <w:tr>
        <w:tc>
          <w:tcPr>
            <w:tcW w:w="0" w:type="auto"/>
            <w:vMerge/>
          </w:tcPr>
          <w:p>
            <w:pPr>
              <w:jc w:val="center"/>
            </w:pPr>
          </w:p>
        </w:tc>
        <w:tc>
          <w:tcPr>
            <w:tcW w:w="0" w:type="auto"/>
          </w:tcPr>
          <w:p>
            <w:r>
              <w:t>СРО</w:t>
            </w:r>
          </w:p>
        </w:tc>
        <w:tc>
          <w:tcPr>
            <w:tcW w:w="0" w:type="auto"/>
            <w:vMerge/>
          </w:tcPr>
          <w:p>
            <w:pPr>
              <w:jc w:val="center"/>
            </w:pPr>
          </w:p>
        </w:tc>
      </w:tr>
      <w:tr>
        <w:tc>
          <w:tcPr>
            <w:tcW w:w="0" w:type="auto"/>
            <w:vMerge/>
          </w:tcPr>
          <w:p>
            <w:pPr>
              <w:jc w:val="center"/>
            </w:pPr>
          </w:p>
        </w:tc>
        <w:tc>
          <w:tcPr>
            <w:tcW w:w="0" w:type="auto"/>
          </w:tcPr>
          <w:p>
            <w:r>
              <w:t>Практические занятия</w:t>
            </w:r>
          </w:p>
        </w:tc>
        <w:tc>
          <w:tcPr>
            <w:tcW w:w="0" w:type="auto"/>
            <w:vMerge/>
          </w:tcPr>
          <w:p>
            <w:pPr>
              <w:jc w:val="center"/>
            </w:pPr>
          </w:p>
        </w:tc>
      </w:tr>
      <w:tr>
        <w:tc>
          <w:tcPr>
            <w:tcW w:w="0" w:type="auto"/>
            <w:vMerge/>
          </w:tcPr>
          <w:p>
            <w:pPr>
              <w:jc w:val="center"/>
            </w:pPr>
          </w:p>
        </w:tc>
        <w:tc>
          <w:tcPr>
            <w:tcW w:w="0" w:type="auto"/>
          </w:tcPr>
          <w:p>
            <w:r>
              <w:t>СРО</w:t>
            </w:r>
          </w:p>
        </w:tc>
        <w:tc>
          <w:tcPr>
            <w:tcW w:w="0" w:type="auto"/>
            <w:vMerge/>
          </w:tcPr>
          <w:p>
            <w:pPr>
              <w:jc w:val="center"/>
            </w:pPr>
          </w:p>
        </w:tc>
      </w:tr>
      <w:tr>
        <w:tc>
          <w:tcPr>
            <w:tcW w:w="0" w:type="auto"/>
            <w:vMerge/>
          </w:tcPr>
          <w:p>
            <w:pPr>
              <w:jc w:val="center"/>
            </w:pPr>
          </w:p>
        </w:tc>
        <w:tc>
          <w:tcPr>
            <w:tcW w:w="0" w:type="auto"/>
          </w:tcPr>
          <w:p>
            <w:r>
              <w:t>Лекции о проверка знаний по материалам лекций</w:t>
            </w:r>
          </w:p>
        </w:tc>
        <w:tc>
          <w:tcPr>
            <w:tcW w:w="0" w:type="auto"/>
            <w:vMerge/>
          </w:tcPr>
          <w:p>
            <w:pPr>
              <w:jc w:val="center"/>
            </w:pPr>
          </w:p>
        </w:tc>
      </w:tr>
      <w:tr>
        <w:tc>
          <w:tcPr>
            <w:tcW w:w="0" w:type="auto"/>
            <w:vMerge/>
          </w:tcPr>
          <w:p>
            <w:pPr>
              <w:jc w:val="center"/>
            </w:pPr>
          </w:p>
        </w:tc>
        <w:tc>
          <w:tcPr>
            <w:tcW w:w="0" w:type="auto"/>
          </w:tcPr>
          <w:p>
            <w:r>
              <w:t>Практические занятия</w:t>
            </w:r>
          </w:p>
        </w:tc>
        <w:tc>
          <w:tcPr>
            <w:tcW w:w="0" w:type="auto"/>
            <w:vMerge/>
          </w:tcPr>
          <w:p>
            <w:pPr>
              <w:jc w:val="center"/>
            </w:pPr>
          </w:p>
        </w:tc>
      </w:tr>
      <w:tr>
        <w:tc>
          <w:tcPr>
            <w:tcW w:w="0" w:type="auto"/>
            <w:vMerge/>
          </w:tcPr>
          <w:p>
            <w:pPr>
              <w:jc w:val="center"/>
            </w:pPr>
          </w:p>
        </w:tc>
        <w:tc>
          <w:tcPr>
            <w:tcW w:w="0" w:type="auto"/>
          </w:tcPr>
          <w:p>
            <w:r>
              <w:t>Рубежный контроль</w:t>
            </w:r>
          </w:p>
        </w:tc>
        <w:tc>
          <w:tcPr>
            <w:tcW w:w="0" w:type="auto"/>
            <w:vMerge/>
          </w:tcPr>
          <w:p>
            <w:pPr>
              <w:jc w:val="center"/>
            </w:pPr>
          </w:p>
        </w:tc>
      </w:tr>
      <w:tr>
        <w:tc>
          <w:tcPr>
            <w:tcW w:w="0" w:type="auto"/>
            <w:vMerge w:val="restart"/>
          </w:tcPr>
          <w:p>
            <w:pPr>
              <w:jc w:val="center"/>
            </w:pPr>
            <w:r>
              <w:t>2-й рейтинг</w:t>
            </w:r>
          </w:p>
        </w:tc>
        <w:tc>
          <w:tcPr>
            <w:tcW w:w="0" w:type="auto"/>
          </w:tcPr>
          <w:p>
            <w:r>
              <w:t>Практические занятия</w:t>
            </w:r>
          </w:p>
        </w:tc>
        <w:tc>
          <w:tcPr>
            <w:tcW w:w="0" w:type="auto"/>
            <w:vMerge w:val="restart"/>
          </w:tcPr>
          <w:p>
            <w:pPr>
              <w:jc w:val="center"/>
            </w:pPr>
            <w:r>
              <w:t>0-100</w:t>
            </w:r>
          </w:p>
        </w:tc>
      </w:tr>
      <w:tr>
        <w:tc>
          <w:tcPr>
            <w:tcW w:w="0" w:type="auto"/>
            <w:vMerge/>
          </w:tcPr>
          <w:p>
            <w:pPr>
              <w:jc w:val="center"/>
            </w:pPr>
          </w:p>
        </w:tc>
        <w:tc>
          <w:tcPr>
            <w:tcW w:w="0" w:type="auto"/>
          </w:tcPr>
          <w:p>
            <w:r>
              <w:t>Лекции о проверка знаний по материалам лекций</w:t>
            </w:r>
          </w:p>
        </w:tc>
        <w:tc>
          <w:tcPr>
            <w:tcW w:w="0" w:type="auto"/>
            <w:vMerge/>
          </w:tcPr>
          <w:p>
            <w:pPr>
              <w:jc w:val="center"/>
            </w:pPr>
          </w:p>
        </w:tc>
      </w:tr>
      <w:tr>
        <w:tc>
          <w:tcPr>
            <w:tcW w:w="0" w:type="auto"/>
            <w:vMerge/>
          </w:tcPr>
          <w:p>
            <w:pPr>
              <w:jc w:val="center"/>
            </w:pPr>
          </w:p>
        </w:tc>
        <w:tc>
          <w:tcPr>
            <w:tcW w:w="0" w:type="auto"/>
          </w:tcPr>
          <w:p>
            <w:r>
              <w:t>Практические занятия</w:t>
            </w:r>
          </w:p>
        </w:tc>
        <w:tc>
          <w:tcPr>
            <w:tcW w:w="0" w:type="auto"/>
            <w:vMerge/>
          </w:tcPr>
          <w:p>
            <w:pPr>
              <w:jc w:val="center"/>
            </w:pPr>
          </w:p>
        </w:tc>
      </w:tr>
      <w:tr>
        <w:tc>
          <w:tcPr>
            <w:tcW w:w="0" w:type="auto"/>
            <w:vMerge/>
          </w:tcPr>
          <w:p>
            <w:pPr>
              <w:jc w:val="center"/>
            </w:pPr>
          </w:p>
        </w:tc>
        <w:tc>
          <w:tcPr>
            <w:tcW w:w="0" w:type="auto"/>
          </w:tcPr>
          <w:p>
            <w:r>
              <w:t>Лекции о проверка знаний по материалам лекций</w:t>
            </w:r>
          </w:p>
        </w:tc>
        <w:tc>
          <w:tcPr>
            <w:tcW w:w="0" w:type="auto"/>
            <w:vMerge/>
          </w:tcPr>
          <w:p>
            <w:pPr>
              <w:jc w:val="center"/>
            </w:pPr>
          </w:p>
        </w:tc>
      </w:tr>
      <w:tr>
        <w:tc>
          <w:tcPr>
            <w:tcW w:w="0" w:type="auto"/>
            <w:vMerge/>
          </w:tcPr>
          <w:p>
            <w:pPr>
              <w:jc w:val="center"/>
            </w:pPr>
          </w:p>
        </w:tc>
        <w:tc>
          <w:tcPr>
            <w:tcW w:w="0" w:type="auto"/>
          </w:tcPr>
          <w:p>
            <w:r>
              <w:t>СРО</w:t>
            </w:r>
          </w:p>
        </w:tc>
        <w:tc>
          <w:tcPr>
            <w:tcW w:w="0" w:type="auto"/>
            <w:vMerge/>
          </w:tcPr>
          <w:p>
            <w:pPr>
              <w:jc w:val="center"/>
            </w:pPr>
          </w:p>
        </w:tc>
      </w:tr>
      <w:tr>
        <w:tc>
          <w:tcPr>
            <w:tcW w:w="0" w:type="auto"/>
            <w:vMerge/>
          </w:tcPr>
          <w:p>
            <w:pPr>
              <w:jc w:val="center"/>
            </w:pPr>
          </w:p>
        </w:tc>
        <w:tc>
          <w:tcPr>
            <w:tcW w:w="0" w:type="auto"/>
          </w:tcPr>
          <w:p>
            <w:r>
              <w:t>Практические занятия</w:t>
            </w:r>
          </w:p>
        </w:tc>
        <w:tc>
          <w:tcPr>
            <w:tcW w:w="0" w:type="auto"/>
            <w:vMerge/>
          </w:tcPr>
          <w:p>
            <w:pPr>
              <w:jc w:val="center"/>
            </w:pPr>
          </w:p>
        </w:tc>
      </w:tr>
      <w:tr>
        <w:tc>
          <w:tcPr>
            <w:tcW w:w="0" w:type="auto"/>
            <w:vMerge/>
          </w:tcPr>
          <w:p>
            <w:pPr>
              <w:jc w:val="center"/>
            </w:pPr>
          </w:p>
        </w:tc>
        <w:tc>
          <w:tcPr>
            <w:tcW w:w="0" w:type="auto"/>
          </w:tcPr>
          <w:p>
            <w:r>
              <w:t>Практические занятия</w:t>
            </w:r>
          </w:p>
        </w:tc>
        <w:tc>
          <w:tcPr>
            <w:tcW w:w="0" w:type="auto"/>
            <w:vMerge/>
          </w:tcPr>
          <w:p>
            <w:pPr>
              <w:jc w:val="center"/>
            </w:pPr>
          </w:p>
        </w:tc>
      </w:tr>
      <w:tr>
        <w:tc>
          <w:tcPr>
            <w:tcW w:w="0" w:type="auto"/>
            <w:vMerge/>
          </w:tcPr>
          <w:p>
            <w:pPr>
              <w:jc w:val="center"/>
            </w:pPr>
          </w:p>
        </w:tc>
        <w:tc>
          <w:tcPr>
            <w:tcW w:w="0" w:type="auto"/>
          </w:tcPr>
          <w:p>
            <w:r>
              <w:t>СРО</w:t>
            </w:r>
          </w:p>
        </w:tc>
        <w:tc>
          <w:tcPr>
            <w:tcW w:w="0" w:type="auto"/>
            <w:vMerge/>
          </w:tcPr>
          <w:p>
            <w:pPr>
              <w:jc w:val="center"/>
            </w:pPr>
          </w:p>
        </w:tc>
      </w:tr>
      <w:tr>
        <w:tc>
          <w:tcPr>
            <w:tcW w:w="0" w:type="auto"/>
            <w:vMerge/>
          </w:tcPr>
          <w:p>
            <w:pPr>
              <w:jc w:val="center"/>
            </w:pPr>
          </w:p>
        </w:tc>
        <w:tc>
          <w:tcPr>
            <w:tcW w:w="0" w:type="auto"/>
          </w:tcPr>
          <w:p>
            <w:r>
              <w:t>Лекции о проверка знаний по материалам лекций</w:t>
            </w:r>
          </w:p>
        </w:tc>
        <w:tc>
          <w:tcPr>
            <w:tcW w:w="0" w:type="auto"/>
            <w:vMerge/>
          </w:tcPr>
          <w:p>
            <w:pPr>
              <w:jc w:val="center"/>
            </w:pPr>
          </w:p>
        </w:tc>
      </w:tr>
      <w:tr>
        <w:tc>
          <w:tcPr>
            <w:tcW w:w="0" w:type="auto"/>
            <w:vMerge/>
          </w:tcPr>
          <w:p>
            <w:pPr>
              <w:jc w:val="center"/>
            </w:pPr>
          </w:p>
        </w:tc>
        <w:tc>
          <w:tcPr>
            <w:tcW w:w="0" w:type="auto"/>
          </w:tcPr>
          <w:p>
            <w:r>
              <w:t>Практические занятия</w:t>
            </w:r>
          </w:p>
        </w:tc>
        <w:tc>
          <w:tcPr>
            <w:tcW w:w="0" w:type="auto"/>
            <w:vMerge/>
          </w:tcPr>
          <w:p>
            <w:pPr>
              <w:jc w:val="center"/>
            </w:pPr>
          </w:p>
        </w:tc>
      </w:tr>
      <w:tr>
        <w:tc>
          <w:tcPr>
            <w:tcW w:w="0" w:type="auto"/>
            <w:vMerge/>
          </w:tcPr>
          <w:p>
            <w:pPr>
              <w:jc w:val="center"/>
            </w:pPr>
          </w:p>
        </w:tc>
        <w:tc>
          <w:tcPr>
            <w:tcW w:w="0" w:type="auto"/>
          </w:tcPr>
          <w:p>
            <w:r>
              <w:t>Рубежный контроль</w:t>
            </w:r>
          </w:p>
        </w:tc>
        <w:tc>
          <w:tcPr>
            <w:tcW w:w="0" w:type="auto"/>
            <w:vMerge/>
          </w:tcPr>
          <w:p>
            <w:pPr>
              <w:jc w:val="center"/>
            </w:pPr>
          </w:p>
        </w:tc>
      </w:tr>
      <w:tr>
        <w:tc>
          <w:p>
            <w:pPr>
              <w:jc w:val="center"/>
            </w:pPr>
            <w:r>
              <w:t>Итоговый контроль</w:t>
            </w:r>
          </w:p>
        </w:tc>
        <w:tc>
          <w:tcPr>
            <w:hMerge w:val="restart"/>
          </w:tcPr>
          <w:p>
            <w:r>
              <w:t>экзамен</w:t>
            </w:r>
          </w:p>
        </w:tc>
        <w:tc>
          <w:p>
            <w:pPr>
              <w:jc w:val="center"/>
            </w:pPr>
            <w:r>
              <w:t>0-100</w:t>
            </w:r>
          </w:p>
        </w:tc>
      </w:tr>
    </w:tbl>
    <w:p/>
    <w:p>
      <w:pPr>
        <w:jc w:val="center"/>
      </w:pPr>
      <w:r>
        <w:rPr>
          <w:b w:val="1"/>
        </w:rPr>
        <w:t>3.1 Политика оценивания результатов обучения по видам работ</w:t>
      </w:r>
    </w:p>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c>
          <w:tcPr>
            <w:tcW w:type="pct" w:w="1000"/>
            <w:vMerge w:val="restart"/>
          </w:tcPr>
          <w:p>
            <w:pPr>
              <w:jc w:val="center"/>
            </w:pPr>
            <w:r>
              <w:rPr>
                <w:b w:val="1"/>
                <w:sz w:val="20"/>
              </w:rPr>
              <w:t>Вид работы</w:t>
            </w:r>
          </w:p>
        </w:tc>
        <w:tc>
          <w:tcPr>
            <w:tcW w:type="pct" w:w="1000"/>
          </w:tcPr>
          <w:p>
            <w:pPr>
              <w:jc w:val="center"/>
            </w:pPr>
            <w:r>
              <w:rPr>
                <w:b w:val="1"/>
                <w:sz w:val="20"/>
              </w:rPr>
              <w:t>90-100</w:t>
            </w:r>
          </w:p>
        </w:tc>
        <w:tc>
          <w:tcPr>
            <w:tcW w:type="pct" w:w="1000"/>
          </w:tcPr>
          <w:p>
            <w:pPr>
              <w:jc w:val="center"/>
            </w:pPr>
            <w:r>
              <w:rPr>
                <w:b w:val="1"/>
                <w:sz w:val="20"/>
              </w:rPr>
              <w:t>70-89</w:t>
            </w:r>
          </w:p>
        </w:tc>
        <w:tc>
          <w:tcPr>
            <w:tcW w:type="pct" w:w="1000"/>
          </w:tcPr>
          <w:p>
            <w:pPr>
              <w:jc w:val="center"/>
            </w:pPr>
            <w:r>
              <w:rPr>
                <w:b w:val="1"/>
                <w:sz w:val="20"/>
              </w:rPr>
              <w:t>50-69</w:t>
            </w:r>
          </w:p>
        </w:tc>
        <w:tc>
          <w:tcPr>
            <w:tcW w:type="pct" w:w="1000"/>
          </w:tcPr>
          <w:p>
            <w:pPr>
              <w:jc w:val="center"/>
            </w:pPr>
            <w:r>
              <w:rPr>
                <w:b w:val="1"/>
                <w:sz w:val="20"/>
              </w:rPr>
              <w:t>0-49</w:t>
            </w:r>
          </w:p>
        </w:tc>
      </w:tr>
      <w:tr>
        <w:tc>
          <w:p>
            <w:pPr>
              <w:vMerge w:val="continue"/>
            </w:pPr>
          </w:p>
        </w:tc>
        <w:tc>
          <w:p>
            <w:pPr>
              <w:jc w:val="center"/>
            </w:pPr>
            <w:r>
              <w:rPr>
                <w:b w:val="1"/>
                <w:sz w:val="20"/>
              </w:rPr>
              <w:t>Отлично</w:t>
            </w:r>
          </w:p>
        </w:tc>
        <w:tc>
          <w:p>
            <w:pPr>
              <w:jc w:val="center"/>
            </w:pPr>
            <w:r>
              <w:rPr>
                <w:b w:val="1"/>
                <w:sz w:val="20"/>
              </w:rPr>
              <w:t>Хорошо</w:t>
            </w:r>
          </w:p>
        </w:tc>
        <w:tc>
          <w:p>
            <w:pPr>
              <w:jc w:val="center"/>
            </w:pPr>
            <w:r>
              <w:rPr>
                <w:b w:val="1"/>
                <w:sz w:val="20"/>
              </w:rPr>
              <w:t>Удовлетворительно</w:t>
              <w:t/>
            </w:r>
          </w:p>
        </w:tc>
        <w:tc>
          <w:p>
            <w:pPr>
              <w:jc w:val="center"/>
            </w:pPr>
            <w:r>
              <w:rPr>
                <w:b w:val="1"/>
                <w:sz w:val="20"/>
              </w:rPr>
              <w:t>Неудовлетворительно</w:t>
              <w:t/>
            </w:r>
          </w:p>
        </w:tc>
      </w:tr>
      <w:tr>
        <w:tc>
          <w:p>
            <w:r>
              <w:rPr>
                <w:sz w:val="20"/>
              </w:rPr>
              <w:t>Лекция</w:t>
            </w:r>
          </w:p>
        </w:tc>
        <w:tc>
          <w:p>
            <w:r>
              <w:rPr>
                <w:sz w:val="20"/>
              </w:rPr>
              <w:t>Выставляется, если обучающийся раскрыл содержание материала в объеме, предусмотренном программой, изложил материал грамотным языком в определенной логической последовательности, точно используя терминологию данного предмета как учебной дисциплины; отвечал самостоятельно без наводящих вопросов преподавателя; успешно ответил на тестовые задания, правильно и обоснованно решил ситуационные задачи. Возможны одна – две неточности при освещении второстепенных вопросов или в выкладках, которые обучающийся легко исправил по замечанию преподавателя.</w:t>
            </w:r>
          </w:p>
        </w:tc>
        <w:tc>
          <w:p>
            <w:r>
              <w:rPr>
                <w:sz w:val="20"/>
              </w:rPr>
              <w:t>Выставляется, если ответ обучающегося удовлетворяет в основном требованиям на отметку «отлично», но при этом имеет место один из недостатков: допущены одна - две неточности при освещении основного содержания ответа, исправленные по замечанию преподавателя; допущены ошибка или более двух неточностей при освещении второстепенных вопросов или в выкладках, легко исправленные по замечанию преподавателя.</w:t>
            </w:r>
          </w:p>
        </w:tc>
        <w:tc>
          <w:p>
            <w:r>
              <w:rPr>
                <w:sz w:val="20"/>
              </w:rPr>
              <w:t>Выставляется в следующих случаях: неполно или непоследовательно раскрыто содержание материала, имеются ошибки при ответах на тесты, неточности в решении ситуационных задач, но показано общее понимание вопроса и продемонстрированы умения, достаточные для дальнейшего усвоения материала, определенного учебной программой дисциплины.</w:t>
            </w:r>
          </w:p>
        </w:tc>
        <w:tc>
          <w:p>
            <w:r>
              <w:rPr>
                <w:sz w:val="20"/>
              </w:rPr>
              <w:t>Выставляется в случаях, если не раскрыто основное содержание учебного материала; обнаружено незнание или неполное понимание обучающимся большей или наиболее важной части учебного материала; допущены грубые ошибки при ответах на вопросы собеседования, неправильно решены ситуационные задачи, допущены ошибки в ответах на тесты, допущены ошибки в определении понятий при использовании специальной терминологии в рисунках, схемах, выкладках, которые не исправлены после нескольких наводящих вопросов преподавателя.</w:t>
            </w:r>
          </w:p>
        </w:tc>
      </w:tr>
      <w:tr>
        <w:tc>
          <w:p>
            <w:r>
              <w:rPr>
                <w:sz w:val="20"/>
              </w:rPr>
              <w:t>Практическое занятие</w:t>
            </w:r>
          </w:p>
        </w:tc>
        <w:tc>
          <w:p>
            <w:r>
              <w:rPr>
                <w:sz w:val="20"/>
              </w:rPr>
              <w:t>Оценка «отлично» выставляется, если студент активно работает в течение всего практического занятия, дает полные ответы на вопросы преподавателя в соответствии с планом практического занятия и показывает при этом глубокое овладение лекционным материалом, знание соответствующей литературы, способен выразить собственное отношение к данной проблеме, проявляет умение самостоятельно и аргументированно излагать материал, анализировать явления и факты, делать самостоятельные обобщения и выводы, правильно выполняет учебные задачи, допуская не более 1-2 арифметических ошибок или описок.</w:t>
            </w:r>
          </w:p>
        </w:tc>
        <w:tc>
          <w:p>
            <w:r>
              <w:rPr>
                <w:sz w:val="20"/>
              </w:rPr>
              <w:t>Оценка «хорошо» выставляется при условии соблюдения следующих требований: студент активно работает в течение практического занятия, вопросы освещены полно, изложения материала логическое, обоснованное фактами, со ссылками на соответствующие литературные источники, освещение вопросов завершено выводами, студент обнаружил умение анализировать факты и события, а также выполнять учебные задания. Но в ответах допущены неточности, некоторые незначительные ошибки, имеет место недостаточная аргументированность при изложении материала, четко выраженное отношение студента к фактам и событиям или допущены 1-2 арифметические и 1-2 логические ошибки при решении задач.</w:t>
            </w:r>
          </w:p>
        </w:tc>
        <w:tc>
          <w:p>
            <w:r>
              <w:rPr>
                <w:sz w:val="20"/>
              </w:rPr>
              <w:t>Оценка «удовлетворительно» выставляется в том случае, когда студент в целом овладел сути вопросов по данной теме, обнаруживает знание лекционного материала,и учебной литературы, пытается анализировать факты и события, делать выводы и решать задачи. Но на занятии ведет себя пассивно, отвечает только по вызову преподавателя, дает неполные ответы на вопросы, допускает грубые ошибки при освещении практического материала или 3-4 логических ошибок при решении специальных задач.</w:t>
            </w:r>
          </w:p>
        </w:tc>
        <w:tc>
          <w:p>
            <w:r>
              <w:rPr>
                <w:sz w:val="20"/>
              </w:rPr>
              <w:t>Оценка «неудовлетворительно» выставляется в случае, когда студент обнаружил несостоятельность осветить вопрос вопросы освещены неправильно, бессистемно, с грубыми ошибками, отсутствуют понимания основной сути вопросов, выводы, обобщения, обнаружено неумение решать учебные задачи.</w:t>
            </w:r>
          </w:p>
        </w:tc>
      </w:tr>
      <w:tr>
        <w:tc>
          <w:p>
            <w:r>
              <w:rPr>
                <w:sz w:val="20"/>
              </w:rPr>
              <w:t>Рубежный контроль</w:t>
            </w:r>
          </w:p>
        </w:tc>
        <w:tc>
          <w:p>
            <w:r>
              <w:rPr>
                <w:sz w:val="20"/>
              </w:rPr>
              <w:t>Выставляется, если обозначена проблема и обоснована её актуальность, сделан краткий анализ различных точек зрения на рассматриваемую проблему и логично изложена собственная позиция, сформулированы выводы, темы раскрыты полностью, выдержан объём, даны правильные ответы на дополнительные вопросы.</w:t>
            </w:r>
          </w:p>
        </w:tc>
        <w:tc>
          <w:p>
            <w:r>
              <w:rPr>
                <w:sz w:val="20"/>
              </w:rPr>
              <w:t>Выставляется, если основные требования к рейтингу и его защите выполнены, но при этом допущены недочёты; в частности, имеются неточности в изложении материала; отсутствует логическая последовательность в суждениях; имеются упущения; на дополнительные вопросы при защите даны неполные ответы.</w:t>
            </w:r>
          </w:p>
        </w:tc>
        <w:tc>
          <w:p>
            <w:r>
              <w:rPr>
                <w:sz w:val="20"/>
              </w:rPr>
              <w:t>Выставляется, если имеются существенные отступления от требований к рейтингу; в частности: тема освещена лишь частично; допущены фактические ошибки в содержании или при ответе на дополнительные вопросы; во время защиты отсутствует вывод.</w:t>
            </w:r>
          </w:p>
        </w:tc>
        <w:tc>
          <w:p>
            <w:r>
              <w:rPr>
                <w:sz w:val="20"/>
              </w:rPr>
              <w:t>Выставляется, если темы рейтинга не раскрыта, выявлено существенное непонимание проблемы или же задания не представлены вовсе.</w:t>
            </w:r>
          </w:p>
        </w:tc>
      </w:tr>
      <w:tr>
        <w:tc>
          <w:p>
            <w:r>
              <w:rPr>
                <w:sz w:val="20"/>
              </w:rPr>
              <w:t>Курсовая работа/Экзамен</w:t>
            </w:r>
          </w:p>
        </w:tc>
        <w:tc>
          <w:p>
            <w:r>
              <w:rPr>
                <w:sz w:val="20"/>
              </w:rPr>
              <w:t>Демонстрирует системные теоретические знания, владеет терминологией, логично и последовательно объясняет сущность явлений и процессов, делает аргументированные выводы и обобщения, приводит примеры, показывает свободное владение монологической речью и способность быстро реагировать на уточняющие вопросы</w:t>
            </w:r>
          </w:p>
        </w:tc>
        <w:tc>
          <w:p>
            <w:r>
              <w:rPr>
                <w:sz w:val="20"/>
              </w:rPr>
              <w:t>Демонстрирует прочные теоретические знания, владеет терминологией, логично и последовательно объясняет сущность, явлений и процессов, делает аргументированные выводы и обобщения, приводит примеры, показывает свободное владение монологической речью, но при этом делает несущественные ошибки, которые исправляет самостоятельно или при незначительной коррекции преподавателем</w:t>
            </w:r>
          </w:p>
        </w:tc>
        <w:tc>
          <w:p>
            <w:r>
              <w:rPr>
                <w:sz w:val="20"/>
              </w:rPr>
              <w:t>Демонстрирует неглубокие теоретические знания, проявляет слабо сформированные навыки анализа явлений и процессов, недостаточное умение делать аргументированные выводы и приводить примеры, показывает недостаточно свободное владение монологической речью, терминологией, логичностью и последовательностью изложения, делает ошибки которые может исправить только при коррекции преподавателем</w:t>
            </w:r>
          </w:p>
        </w:tc>
        <w:tc>
          <w:p>
            <w:r>
              <w:rPr>
                <w:sz w:val="20"/>
              </w:rPr>
              <w:t>Демонстрирует незнание теоретических основ предмета, несформированные навыки анализа явлений и процессов, не умеет делать аргументированные выводы и приводить примеры, показывает слабое владение монологической речью, не владеет терминологией, проявляет отсутствие логичности и последовательности изложения, делает ошибки, которые не может исправить даже при коррекции преподавателем, отказывается отвечать на занятии</w:t>
            </w:r>
          </w:p>
        </w:tc>
      </w:tr>
    </w:tbl>
    <w:p/>
    <w:p>
      <w:pPr>
        <w:ind w:firstLine="567"/>
      </w:pPr>
      <w:r>
        <w:t>Итоговая оценка знаний обучающего по дисциплине осуществляется по 100 балльной системе и включает:</w:t>
      </w:r>
    </w:p>
    <w:p>
      <w:pPr>
        <w:ind w:firstLine="567"/>
      </w:pPr>
      <w:r>
        <w:t>- 60% результатов текущей успеваемости;</w:t>
      </w:r>
    </w:p>
    <w:p>
      <w:pPr>
        <w:ind w:firstLine="567"/>
      </w:pPr>
      <w:r>
        <w:t>- 40% результата, полученного на экзамене.</w:t>
      </w:r>
    </w:p>
    <w:p/>
    <w:p>
      <w:pPr>
        <w:ind w:firstLine="567"/>
      </w:pPr>
      <w:r>
        <w:t>Формула подсчета итоговой оценки:</w:t>
      </w:r>
    </w:p>
    <w:p/>
    <w:p>
      <w:pPr>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ctrlPr>
                  <w:rPr>
                    <w:rFonts w:ascii="Cambria Math"/>
                    <w:i/>
                    <w:szCs w:val="28"/>
                  </w:rPr>
                </m:ctrlP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ctrlPr>
                  <w:rPr>
                    <w:rFonts w:ascii="Cambria Math"/>
                    <w:i/>
                    <w:szCs w:val="28"/>
                  </w:rPr>
                </m:ctrlPr>
              </m:sub>
            </m:sSub>
            <m:ctrlPr>
              <w:rPr>
                <w:rFonts w:ascii="Cambria Math"/>
                <w:i/>
                <w:szCs w:val="28"/>
              </w:rPr>
            </m:ctrlPr>
          </m:num>
          <m:den>
            <m:r>
              <w:rPr>
                <w:rFonts w:ascii="Cambria Math"/>
                <w:szCs w:val="28"/>
              </w:rPr>
              <m:t>2</m:t>
            </m:r>
            <m:ctrlPr>
              <w:rPr>
                <w:rFonts w:ascii="Cambria Math"/>
                <w:i/>
                <w:szCs w:val="28"/>
              </w:rPr>
            </m:ctrlPr>
          </m:den>
        </m:f>
        <m:r>
          <w:rPr>
            <w:rFonts w:ascii="Cambria Math"/>
            <w:szCs w:val="28"/>
          </w:rPr>
          <m:t>+0,4</m:t>
        </m:r>
        <m:r>
          <w:rPr>
            <w:rFonts w:ascii="Cambria Math"/>
            <w:szCs w:val="28"/>
          </w:rPr>
          <m:t>Э</m:t>
        </m:r>
      </m:oMath>
      <w:r>
        <w:tab/>
        <w:tab/>
        <w:tab/>
        <w:tab/>
        <w:tab/>
        <w:t>(1)</w:t>
      </w:r>
    </w:p>
    <w:p/>
    <w:p>
      <w:pPr>
        <w:ind w:firstLine="567"/>
      </w:pPr>
      <w:r>
        <w:t>где Р1, Р2 – цифровые эквиваленты оценок первого, второго рейтингов соответственно; Э – цифровой эквивалент оценки на экзамене.</w:t>
      </w:r>
    </w:p>
    <w:p/>
    <w:p>
      <w:pPr>
        <w:ind w:firstLine="567"/>
      </w:pPr>
      <w:r>
        <w:t>Буквенная система оценки учебных достижений обучающихся, соответствующая цифровому эквиваленту по четырехбалльной системе:</w:t>
      </w:r>
    </w:p>
    <w:tbl>
      <w:tblPr>
        <w:tblCellMar>
          <w:left w:type="dxa" w:w="25"/>
          <w:top w:type="dxa" w:w="25"/>
          <w:right w:type="dxa" w:w="25"/>
          <w:bottom w:type="dxa" w:w="25"/>
        </w:tblCellMar>
        <w:tblBorders>
          <w:insideH w:val="thick"/>
          <w:insideV w:val="thick"/>
          <w:left w:val="thick"/>
          <w:right w:val="thick"/>
          <w:top w:val="thick"/>
          <w:bottom w:val="thick"/>
        </w:tblBorders>
        <w:tblW w:type="pct" w:w="5000"/>
      </w:tblPr>
      <w:tblGrid/>
      <w:tr>
        <w:trPr>
          <w:tblHeader w:val="1"/>
        </w:trPr>
        <w:tc>
          <w:tcPr>
            <w:tcW w:w="600" w:type="pct"/>
          </w:tcPr>
          <w:p>
            <w:pPr>
              <w:jc w:val="center"/>
            </w:pPr>
            <w:r>
              <w:t>Оценка по буквенной системе</w:t>
            </w:r>
          </w:p>
        </w:tc>
        <w:tc>
          <w:tcPr>
            <w:tcW w:w="900" w:type="pct"/>
          </w:tcPr>
          <w:p>
            <w:pPr>
              <w:jc w:val="center"/>
            </w:pPr>
            <w:r>
              <w:t>Цифровой эквивалент</w:t>
            </w:r>
          </w:p>
        </w:tc>
        <w:tc>
          <w:tcPr>
            <w:tcW w:w="800" w:type="pct"/>
          </w:tcPr>
          <w:p>
            <w:pPr>
              <w:jc w:val="center"/>
            </w:pPr>
            <w:r>
              <w:t>Баллы (%-ное содержание)</w:t>
            </w:r>
          </w:p>
        </w:tc>
        <w:tc>
          <w:tcPr>
            <w:tcW w:w="800" w:type="pct"/>
          </w:tcPr>
          <w:p>
            <w:pPr>
              <w:jc w:val="center"/>
            </w:pPr>
            <w:r>
              <w:t>Оценка по традиционной системе</w:t>
            </w:r>
          </w:p>
        </w:tc>
      </w:tr>
      <w:tr>
        <w:tc>
          <w:p>
            <w:pPr>
              <w:jc w:val="center"/>
            </w:pPr>
            <w:r>
              <w:t>A</w:t>
            </w:r>
          </w:p>
        </w:tc>
        <w:tc>
          <w:p>
            <w:pPr>
              <w:jc w:val="center"/>
            </w:pPr>
            <w:r>
              <w:t>4.0</w:t>
            </w:r>
          </w:p>
        </w:tc>
        <w:tc>
          <w:p>
            <w:pPr>
              <w:jc w:val="center"/>
            </w:pPr>
            <w:r>
              <w:t>95-100</w:t>
            </w:r>
          </w:p>
        </w:tc>
        <w:tc>
          <w:tcPr>
            <w:vMerge w:val="restart"/>
          </w:tcPr>
          <w:p>
            <w:pPr>
              <w:jc w:val="center"/>
            </w:pPr>
            <w:r>
              <w:t>Отлично</w:t>
            </w:r>
          </w:p>
        </w:tc>
      </w:tr>
      <w:tr>
        <w:tc>
          <w:p>
            <w:pPr>
              <w:jc w:val="center"/>
            </w:pPr>
            <w:r>
              <w:t>A-</w:t>
            </w:r>
          </w:p>
        </w:tc>
        <w:tc>
          <w:p>
            <w:pPr>
              <w:jc w:val="center"/>
            </w:pPr>
            <w:r>
              <w:t>3.67</w:t>
            </w:r>
          </w:p>
        </w:tc>
        <w:tc>
          <w:p>
            <w:pPr>
              <w:jc w:val="center"/>
            </w:pPr>
            <w:r>
              <w:t>90-94</w:t>
            </w:r>
          </w:p>
        </w:tc>
        <w:tc>
          <w:tcPr>
            <w:vMerge w:val="continue"/>
          </w:tcPr>
          <w:p/>
        </w:tc>
        <w:tc>
          <w:tcPr>
            <w:vMerge w:val="continue"/>
          </w:tcPr>
          <w:p/>
        </w:tc>
      </w:tr>
      <w:tr>
        <w:tc>
          <w:p>
            <w:pPr>
              <w:jc w:val="center"/>
            </w:pPr>
            <w:r>
              <w:t>B+</w:t>
            </w:r>
          </w:p>
        </w:tc>
        <w:tc>
          <w:p>
            <w:pPr>
              <w:jc w:val="center"/>
            </w:pPr>
            <w:r>
              <w:t>3.33</w:t>
            </w:r>
          </w:p>
        </w:tc>
        <w:tc>
          <w:p>
            <w:pPr>
              <w:jc w:val="center"/>
            </w:pPr>
            <w:r>
              <w:t>85-89</w:t>
            </w:r>
          </w:p>
        </w:tc>
        <w:tc>
          <w:tcPr>
            <w:vMerge w:val="restart"/>
          </w:tcPr>
          <w:p>
            <w:pPr>
              <w:jc w:val="center"/>
            </w:pPr>
            <w:r>
              <w:t>Хорошо</w:t>
            </w:r>
          </w:p>
        </w:tc>
      </w:tr>
      <w:tr>
        <w:tc>
          <w:p>
            <w:pPr>
              <w:jc w:val="center"/>
            </w:pPr>
            <w:r>
              <w:t>B</w:t>
            </w:r>
          </w:p>
        </w:tc>
        <w:tc>
          <w:p>
            <w:pPr>
              <w:jc w:val="center"/>
            </w:pPr>
            <w:r>
              <w:t>3.0</w:t>
            </w:r>
          </w:p>
        </w:tc>
        <w:tc>
          <w:p>
            <w:pPr>
              <w:jc w:val="center"/>
            </w:pPr>
            <w:r>
              <w:t>80-84</w:t>
            </w:r>
          </w:p>
        </w:tc>
        <w:tc>
          <w:tcPr>
            <w:vMerge w:val="continue"/>
          </w:tcPr>
          <w:p/>
        </w:tc>
        <w:tc>
          <w:tcPr>
            <w:vMerge w:val="continue"/>
          </w:tcPr>
          <w:p/>
        </w:tc>
      </w:tr>
      <w:tr>
        <w:tc>
          <w:p>
            <w:pPr>
              <w:jc w:val="center"/>
            </w:pPr>
            <w:r>
              <w:t>B-</w:t>
            </w:r>
          </w:p>
        </w:tc>
        <w:tc>
          <w:p>
            <w:pPr>
              <w:jc w:val="center"/>
            </w:pPr>
            <w:r>
              <w:t>2.67</w:t>
            </w:r>
          </w:p>
        </w:tc>
        <w:tc>
          <w:p>
            <w:pPr>
              <w:jc w:val="center"/>
            </w:pPr>
            <w:r>
              <w:t>75-79</w:t>
            </w:r>
          </w:p>
        </w:tc>
        <w:tc>
          <w:tcPr>
            <w:vMerge w:val="continue"/>
          </w:tcPr>
          <w:p/>
        </w:tc>
        <w:tc>
          <w:tcPr>
            <w:vMerge w:val="continue"/>
          </w:tcPr>
          <w:p/>
        </w:tc>
      </w:tr>
      <w:tr>
        <w:tc>
          <w:p>
            <w:pPr>
              <w:jc w:val="center"/>
            </w:pPr>
            <w:r>
              <w:t>C+</w:t>
            </w:r>
          </w:p>
        </w:tc>
        <w:tc>
          <w:p>
            <w:pPr>
              <w:jc w:val="center"/>
            </w:pPr>
            <w:r>
              <w:t>2.33</w:t>
            </w:r>
          </w:p>
        </w:tc>
        <w:tc>
          <w:p>
            <w:pPr>
              <w:jc w:val="center"/>
            </w:pPr>
            <w:r>
              <w:t>70-74</w:t>
            </w:r>
          </w:p>
        </w:tc>
        <w:tc>
          <w:tcPr>
            <w:vMerge w:val="continue"/>
          </w:tcPr>
          <w:p/>
        </w:tc>
        <w:tc>
          <w:tcPr>
            <w:vMerge w:val="continue"/>
          </w:tcPr>
          <w:p/>
        </w:tc>
      </w:tr>
      <w:tr>
        <w:tc>
          <w:p>
            <w:pPr>
              <w:jc w:val="center"/>
            </w:pPr>
            <w:r>
              <w:t>C</w:t>
            </w:r>
          </w:p>
        </w:tc>
        <w:tc>
          <w:p>
            <w:pPr>
              <w:jc w:val="center"/>
            </w:pPr>
            <w:r>
              <w:t>2.0</w:t>
            </w:r>
          </w:p>
        </w:tc>
        <w:tc>
          <w:p>
            <w:pPr>
              <w:jc w:val="center"/>
            </w:pPr>
            <w:r>
              <w:t>65-69</w:t>
            </w:r>
          </w:p>
        </w:tc>
        <w:tc>
          <w:tcPr>
            <w:vMerge w:val="restart"/>
          </w:tcPr>
          <w:p>
            <w:pPr>
              <w:jc w:val="center"/>
            </w:pPr>
            <w:r>
              <w:t>Удовлетворительно</w:t>
            </w:r>
          </w:p>
        </w:tc>
      </w:tr>
      <w:tr>
        <w:tc>
          <w:p>
            <w:pPr>
              <w:jc w:val="center"/>
            </w:pPr>
            <w:r>
              <w:t>C-</w:t>
            </w:r>
          </w:p>
        </w:tc>
        <w:tc>
          <w:p>
            <w:pPr>
              <w:jc w:val="center"/>
            </w:pPr>
            <w:r>
              <w:t>1.67</w:t>
            </w:r>
          </w:p>
        </w:tc>
        <w:tc>
          <w:p>
            <w:pPr>
              <w:jc w:val="center"/>
            </w:pPr>
            <w:r>
              <w:t>60-64</w:t>
            </w:r>
          </w:p>
        </w:tc>
        <w:tc>
          <w:tcPr>
            <w:vMerge w:val="continue"/>
          </w:tcPr>
          <w:p/>
        </w:tc>
        <w:tc>
          <w:tcPr>
            <w:vMerge w:val="continue"/>
          </w:tcPr>
          <w:p/>
        </w:tc>
      </w:tr>
      <w:tr>
        <w:tc>
          <w:p>
            <w:pPr>
              <w:jc w:val="center"/>
            </w:pPr>
            <w:r>
              <w:t>D+</w:t>
            </w:r>
          </w:p>
        </w:tc>
        <w:tc>
          <w:p>
            <w:pPr>
              <w:jc w:val="center"/>
            </w:pPr>
            <w:r>
              <w:t>1.33</w:t>
            </w:r>
          </w:p>
        </w:tc>
        <w:tc>
          <w:p>
            <w:pPr>
              <w:jc w:val="center"/>
            </w:pPr>
            <w:r>
              <w:t>55-59</w:t>
            </w:r>
          </w:p>
        </w:tc>
        <w:tc>
          <w:tcPr>
            <w:vMerge w:val="continue"/>
          </w:tcPr>
          <w:p/>
        </w:tc>
        <w:tc>
          <w:tcPr>
            <w:vMerge w:val="continue"/>
          </w:tcPr>
          <w:p/>
        </w:tc>
      </w:tr>
      <w:tr>
        <w:tc>
          <w:p>
            <w:pPr>
              <w:jc w:val="center"/>
            </w:pPr>
            <w:r>
              <w:t>D</w:t>
            </w:r>
          </w:p>
        </w:tc>
        <w:tc>
          <w:p>
            <w:pPr>
              <w:jc w:val="center"/>
            </w:pPr>
            <w:r>
              <w:t>1.0</w:t>
            </w:r>
          </w:p>
        </w:tc>
        <w:tc>
          <w:p>
            <w:pPr>
              <w:jc w:val="center"/>
            </w:pPr>
            <w:r>
              <w:t>50-54</w:t>
            </w:r>
          </w:p>
        </w:tc>
        <w:tc>
          <w:tcPr>
            <w:vMerge w:val="continue"/>
          </w:tcPr>
          <w:p/>
        </w:tc>
        <w:tc>
          <w:tcPr>
            <w:vMerge w:val="continue"/>
          </w:tcPr>
          <w:p/>
        </w:tc>
      </w:tr>
      <w:tr>
        <w:tc>
          <w:p>
            <w:pPr>
              <w:jc w:val="center"/>
            </w:pPr>
            <w:r>
              <w:t>FX</w:t>
            </w:r>
          </w:p>
        </w:tc>
        <w:tc>
          <w:p>
            <w:pPr>
              <w:jc w:val="center"/>
            </w:pPr>
            <w:r>
              <w:t>0.5</w:t>
            </w:r>
          </w:p>
        </w:tc>
        <w:tc>
          <w:p>
            <w:pPr>
              <w:jc w:val="center"/>
            </w:pPr>
            <w:r>
              <w:t>25-49</w:t>
            </w:r>
          </w:p>
        </w:tc>
        <w:tc>
          <w:tcPr>
            <w:vMerge w:val="restart"/>
          </w:tcPr>
          <w:p>
            <w:pPr>
              <w:jc w:val="center"/>
            </w:pPr>
            <w:r>
              <w:t>Неудовлетворительно</w:t>
            </w:r>
          </w:p>
        </w:tc>
      </w:tr>
      <w:tr>
        <w:tc>
          <w:p>
            <w:pPr>
              <w:jc w:val="center"/>
            </w:pPr>
            <w:r>
              <w:t>F</w:t>
            </w:r>
          </w:p>
        </w:tc>
        <w:tc>
          <w:p>
            <w:pPr>
              <w:jc w:val="center"/>
            </w:pPr>
            <w:r>
              <w:t>0</w:t>
            </w:r>
          </w:p>
        </w:tc>
        <w:tc>
          <w:p>
            <w:pPr>
              <w:jc w:val="center"/>
            </w:pPr>
            <w:r>
              <w:t>0-24</w:t>
            </w:r>
          </w:p>
        </w:tc>
        <w:tc>
          <w:tcPr>
            <w:vMerge w:val="continue"/>
          </w:tcPr>
          <w:p/>
        </w:tc>
        <w:tc>
          <w:tcPr>
            <w:vMerge w:val="continue"/>
          </w:tcPr>
          <w:p/>
        </w:tc>
      </w:tr>
    </w:tbl>
    <w:p/>
    <w:p>
      <w:pPr>
        <w:jc w:val="center"/>
      </w:pPr>
      <w:r>
        <w:rPr>
          <w:b w:val="1"/>
        </w:rPr>
        <w:t>4 ПОЛИТИКА ДИСЦИПЛИНЫ</w:t>
      </w:r>
    </w:p>
    <w:p/>
    <w:p>
      <w:pPr>
        <w:ind w:firstLine="567"/>
      </w:pPr>
      <w:r>
        <w:t>Обучающийся обязан:</w:t>
      </w:r>
    </w:p>
    <w:p>
      <w:pPr>
        <w:ind w:firstLine="567"/>
      </w:pPr>
      <w:r>
        <w:t>Не опаздывать на занятия.</w:t>
      </w:r>
    </w:p>
    <w:p>
      <w:pPr>
        <w:ind w:firstLine="567"/>
      </w:pPr>
      <w:r>
        <w:t>Не пропускать занятия без уважительной причины, в случае болезни представить справку, в других случаях – объяснительную записку.</w:t>
      </w:r>
    </w:p>
    <w:p>
      <w:pPr>
        <w:ind w:firstLine="567"/>
      </w:pPr>
      <w:r>
        <w:t>В обязанности студента входит посещение всех видов занятий.</w:t>
      </w:r>
    </w:p>
    <w:p>
      <w:pPr>
        <w:ind w:firstLine="567"/>
      </w:pPr>
      <w:r>
        <w:t>Согласно календарному графику учебного процесса сдавать все виды контроля.</w:t>
      </w:r>
    </w:p>
    <w:p>
      <w:pPr>
        <w:ind w:firstLine="567"/>
      </w:pPr>
      <w:r>
        <w:t>Пропущенные практические занятия отрабатывать в указанное преподавателем время.</w:t>
      </w:r>
    </w:p>
    <w:p>
      <w:pPr>
        <w:ind w:firstLine="567"/>
      </w:pPr>
      <w:r>
        <w:t>Пропущенные лекционные занятия (независимо от причины) отрабатывать в виде реферата по пропущенной тематике.</w:t>
      </w:r>
    </w:p>
    <w:p>
      <w:pPr>
        <w:ind w:firstLine="567"/>
      </w:pPr>
      <w:r>
        <w:t>Активно участвовать в учебном процессе.</w:t>
      </w:r>
    </w:p>
    <w:p>
      <w:pPr>
        <w:ind w:firstLine="567"/>
      </w:pPr>
      <w:r>
        <w:t>Быть терпимыми, открытыми, откровенными и доброжелательными к сокурсникам и преподавателям.</w:t>
      </w:r>
    </w:p>
    <w:p/>
    <w:p>
      <w:pPr>
        <w:jc w:val="center"/>
      </w:pPr>
      <w:r>
        <w:rPr>
          <w:b w:val="1"/>
        </w:rPr>
        <w:t>5 СПИСОК РЕКОМЕНДУЕМОЙ ЛИТЕРАТУРЫ</w:t>
      </w:r>
    </w:p>
    <w:p/>
    <w:p>
      <w:pPr>
        <w:jc w:val="center"/>
      </w:pPr>
      <w:r>
        <w:rPr>
          <w:b w:val="1"/>
        </w:rPr>
        <w:t>5.1 Основная литература</w:t>
      </w:r>
    </w:p>
    <w:p/>
    <w:p>
      <w:pPr>
        <w:ind w:firstLine="567"/>
      </w:pPr>
      <w:r>
        <w:t>1. 1. Кодекс Республики Казахстан О НЕДРАХ И НЕДРОПОЛЬЗОВАНИИ (с изменениями и дополнениями по состоянию на 01.01.2024 г.)</w:t>
      </w:r>
    </w:p>
    <w:p>
      <w:pPr>
        <w:ind w:firstLine="567"/>
      </w:pPr>
      <w:r>
        <w:t>2. 2. Об утверждении Инструкции по организации и проведению экологической оценки. Приказ Министра экологии, геологии и природных ресурсов Республики Казахстан от 30 июля 2021 года № 280.</w:t>
      </w:r>
    </w:p>
    <w:p>
      <w:pPr>
        <w:ind w:firstLine="567"/>
      </w:pPr>
      <w:r>
        <w:t>3. 3. On the approval of the Sanitary Rules "Sanitary and epidemiological requirements for industrial facilities". Order of the Minister of Health of the Republic of Kazakhstan dated February 11, 2022 No. KR DSM -13.</w:t>
      </w:r>
    </w:p>
    <w:p>
      <w:pPr>
        <w:ind w:firstLine="567"/>
      </w:pPr>
      <w:r>
        <w:t>4. Казахстанский кодекс публичной отчетности о результатах геологоразведочных работ, минеральных ресурсах и минеральных запасах (Кодекс KAZRC). 2022 г.</w:t>
      </w:r>
    </w:p>
    <w:p/>
    <w:p>
      <w:pPr>
        <w:jc w:val="center"/>
      </w:pPr>
      <w:r>
        <w:rPr>
          <w:b w:val="1"/>
        </w:rPr>
        <w:t>5.2 Дополнительная литература</w:t>
      </w:r>
    </w:p>
    <w:p/>
    <w:p>
      <w:pPr>
        <w:ind w:firstLine="567"/>
      </w:pPr>
      <w:r>
        <w:t>1. Стратегия Казахстан – 2050. Астана, 2014.</w:t>
      </w:r>
    </w:p>
    <w:p>
      <w:pPr>
        <w:ind w:firstLine="567"/>
      </w:pPr>
      <w:r>
        <w:t>2. Сборник нормативно-правовых актов Республики Казахстан в области недропользования / ред. совет: Е. М. Есимханов, Е. Т. Еркебуланов, Л. М. Махметова и др.; авт. идеи Т. Г. Байгабулов. – Алматы : Раритет, 2011. – 568 с.</w:t>
      </w:r>
    </w:p>
    <w:p>
      <w:pPr>
        <w:ind w:firstLine="567"/>
      </w:pPr>
      <w:r>
        <w:t>3. Концепция развития геологической отрасли Республики Казахстан до 2030 года. – Астана, 2014.</w:t>
      </w:r>
    </w:p>
    <w:p>
      <w:pPr>
        <w:ind w:firstLine="567"/>
      </w:pPr>
      <w:r>
        <w:t>4. IPR SMART http://www.iprbookshop.ru</w:t>
      </w:r>
    </w:p>
    <w:p>
      <w:pPr>
        <w:ind w:firstLine="567"/>
      </w:pPr>
      <w:r>
        <w:t>5. ScienceDirect - http://www.sciencedirect.com.</w:t>
      </w:r>
    </w:p>
    <w:p>
      <w:pPr>
        <w:ind w:firstLine="567"/>
      </w:pPr>
      <w:r>
        <w:t>6. EBSCO Discovery Service (EDS) - http://search.ebscohost.com</w:t>
      </w:r>
    </w:p>
    <w:sectPr>
      <w:headerReference w:type="default" r:id="rId20"/>
      <w:pgSz w:w="11906" w:h="16838"/>
      <w:pgMar w:top="1134" w:right="1134" w:bottom="1134" w:left="1134" w:header="708" w:footer="708" w:gutter="0"/>
      <w:cols w:space="708"/>
      <w:docGrid w:linePitch="360"/>
    </w:sectPr>
  </w:body>
</w:document>
</file>

<file path=word/header1.xml><?xml version="1.0" encoding="utf-8"?>
<w:hdr xmlns:wp="http://schemas.openxmlformats.org/drawingml/2006/wordprocessingDrawing" xmlns:r="http://schemas.openxmlformats.org/officeDocument/2006/relationships" xmlns:w="http://schemas.openxmlformats.org/wordprocessingml/2006/main">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Pr>
    <w:tblGrid/>
    <w:tr>
      <w:trPr>
        <w:cantSplit/>
        <w:trHeight w:val="353"/>
      </w:trPr>
      <w:tc>
        <w:tcPr>
          <w:tcW w:w="1129" w:type="dxa"/>
          <w:vMerge w:val="restart"/>
          <w:vAlign w:val="center"/>
        </w:tcPr>
        <w:p>
          <w:pPr>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gridSpan w:val="2"/>
          <w:vAlign w:val="center"/>
        </w:tcPr>
        <w:p>
          <w:pPr>
            <w:pStyle w:val="header"/>
          </w:pPr>
          <w:r>
            <w:t>Некоммерческое акционерное общество «Восточно-Казахстанский технический университет имени Д. Серикбаева»</w:t>
          </w:r>
        </w:p>
      </w:tc>
      <w:tc>
        <w:tcPr>
          <w:tcW w:w="1501" w:type="dxa"/>
          <w:vMerge w:val="restart"/>
          <w:vAlign w:val="center"/>
        </w:tcPr>
        <w:p>
          <w:pPr>
            <w:pStyle w:val="header"/>
          </w:pPr>
          <w:r>
            <w:t>Стр. </w:t>
          </w:r>
          <w:r>
            <w:fldChar w:fldCharType="begin"/>
          </w:r>
          <w:r>
            <w:instrText>PAGE</w:instrText>
          </w:r>
          <w:r>
            <w:fldChar w:fldCharType="separate"/>
          </w:r>
          <w:r>
            <w:rPr>
              <w:noProof/>
            </w:rPr>
            <w:fldChar w:fldCharType="end"/>
          </w:r>
          <w:r>
            <w:t> из </w:t>
          </w:r>
          <w:r>
            <w:fldChar w:fldCharType="begin"/>
          </w:r>
          <w:r>
            <w:instrText>NUMPAGES</w:instrText>
          </w:r>
          <w:r>
            <w:fldChar w:fldCharType="separate"/>
          </w:r>
          <w:r>
            <w:rPr>
              <w:noProof/>
            </w:rPr>
            <w:fldChar w:fldCharType="end"/>
          </w:r>
        </w:p>
      </w:tc>
    </w:tr>
    <w:tr>
      <w:trPr>
        <w:cantSplit/>
        <w:trHeight w:val="310"/>
      </w:trPr>
      <w:tc>
        <w:tcPr>
          <w:tcW w:w="1129" w:type="dxa"/>
          <w:vMerge/>
        </w:tcPr>
        <w:p/>
      </w:tc>
      <w:tc>
        <w:tcPr>
          <w:tcW w:w="1921" w:type="dxa"/>
          <w:vAlign w:val="center"/>
        </w:tcPr>
        <w:p>
          <w:pPr>
            <w:pStyle w:val="header"/>
          </w:pPr>
          <w:r>
            <w:t>Интегрированная система менеджмента</w:t>
          </w:r>
        </w:p>
      </w:tc>
      <w:tc>
        <w:tcPr>
          <w:vAlign w:val="center"/>
        </w:tcPr>
        <w:p>
          <w:pPr>
            <w:pStyle w:val="header"/>
          </w:pPr>
          <w:r>
            <w:t>И ВКТУ 026-III-2024</w:t>
          </w:r>
        </w:p>
        <w:p>
          <w:pPr>
            <w:pStyle w:val="header"/>
          </w:pPr>
          <w:r>
            <w:t>Разработка и оформление Рабочей учебной программы (Силлабус) в НАО «ВКТУ имени Д. Серикбаева»</w:t>
          </w:r>
        </w:p>
      </w:tc>
      <w:tc>
        <w:tcPr>
          <w:tcW w:w="1501" w:type="dxa"/>
          <w:vMerge/>
        </w:tcPr>
        <w:p/>
      </w:tc>
    </w:tr>
  </w:tbl>
  <w:p/>
</w:hdr>
</file>

<file path=word/settings.xml><?xml version="1.0" encoding="utf-8"?>
<w:settings xmlns:w="http://schemas.openxmlformats.org/wordprocessingml/2006/main">
  <w:view w:val="print"/>
  <w:zoom w:percent="100"/>
</w:settings>
</file>

<file path=word/styles.xml><?xml version="1.0" encoding="utf-8"?>
<w:styles xmlns:w="http://schemas.openxmlformats.org/wordprocessingml/2006/main">
  <w:style w:default="true" w:type="paragraph" w:styleId="default">
    <w:pPr>
      <w:spacing w:after="0" w:line="240" w:lineRule="auto"/>
      <w:jc w:val="both"/>
    </w:pPr>
    <w:rPr>
      <w:rFonts w:ascii="Times New Roman" w:cs="Times New Roman" w:hAnsi="Times New Roman"/>
      <w:sz w:val="24"/>
    </w:rPr>
  </w:style>
  <w:style w:type="paragraph" w:styleId="title">
    <w:pPr>
      <w:jc w:val="center"/>
      <w:spacing w:after="0" w:line="240" w:lineRule="auto"/>
    </w:pPr>
    <w:rPr>
      <w:b w:val="1"/>
      <w:rFonts w:ascii="Times New Roman" w:cs="Times New Roman" w:hAnsi="Times New Roman"/>
      <w:sz w:val="22"/>
    </w:rPr>
  </w:style>
  <w:style w:type="paragraph" w:styleId="header">
    <w:pPr>
      <w:jc w:val="center"/>
      <w:spacing w:after="0" w:line="240" w:lineRule="auto"/>
    </w:pPr>
    <w:rPr>
      <w:b w:val="1"/>
      <w:rFonts w:ascii="Tahoma" w:cs="Tahoma" w:hAnsi="Tahoma"/>
      <w:sz w:val="12"/>
    </w:rPr>
  </w:style>
</w:styles>
</file>

<file path=word/_rels/document.xml.rels>&#65279;<?xml version="1.0" encoding="utf-8"?><Relationships xmlns="http://schemas.openxmlformats.org/package/2006/relationships"><Relationship Type="http://schemas.openxmlformats.org/officeDocument/2006/relationships/styles" Target="/word/styles.xml" Id="rId2" /><Relationship Type="http://schemas.openxmlformats.org/officeDocument/2006/relationships/settings" Target="/word/settings.xml" Id="rId3" /><Relationship Type="http://schemas.openxmlformats.org/officeDocument/2006/relationships/header" Target="/word/header1.xml" Id="rId20" /></Relationships>
</file>

<file path=word/_rels/header1.xml.rels>&#65279;<?xml version="1.0" encoding="utf-8"?><Relationships xmlns="http://schemas.openxmlformats.org/package/2006/relationships"><Relationship Type="http://schemas.openxmlformats.org/officeDocument/2006/relationships/image" Target="/word/media/image1.jpg" Id="rId1" /></Relationships>
</file>